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25590B" w:rsidR="002934D0" w:rsidP="0025590B" w:rsidRDefault="002934D0">
      <w:pPr>
        <w:jc w:val="center"/>
        <w:rPr>
          <w:lang w:val="en-GB"/>
        </w:rPr>
      </w:pPr>
      <w:bookmarkStart w:name="_GoBack" w:id="0"/>
      <w:bookmarkEnd w:id="0"/>
    </w:p>
    <w:p w:rsidRPr="0025590B" w:rsidR="00E244D3" w:rsidP="0025590B" w:rsidRDefault="00E244D3">
      <w:pPr>
        <w:jc w:val="center"/>
        <w:rPr>
          <w:lang w:val="en-GB"/>
        </w:rPr>
      </w:pPr>
    </w:p>
    <w:p w:rsidRPr="0025590B" w:rsidR="0098410D" w:rsidP="0025590B" w:rsidRDefault="0098410D">
      <w:pPr>
        <w:jc w:val="center"/>
        <w:rPr>
          <w:lang w:val="en-GB"/>
        </w:rPr>
      </w:pPr>
    </w:p>
    <w:p w:rsidRPr="0025590B" w:rsidR="0098410D" w:rsidP="0025590B" w:rsidRDefault="001962A0">
      <w:pPr>
        <w:tabs>
          <w:tab w:val="left" w:pos="5529"/>
        </w:tabs>
        <w:jc w:val="center"/>
        <w:rPr>
          <w:lang w:val="en-GB"/>
        </w:rPr>
      </w:pPr>
      <w:r w:rsidRPr="0025590B">
        <w:rPr>
          <w:lang w:val="en-GB"/>
        </w:rPr>
        <w:t>FIRST SECTION</w:t>
      </w:r>
    </w:p>
    <w:p w:rsidRPr="0025590B" w:rsidR="00E95C1E" w:rsidP="0025590B" w:rsidRDefault="00E95C1E">
      <w:pPr>
        <w:jc w:val="center"/>
        <w:rPr>
          <w:lang w:val="en-GB"/>
        </w:rPr>
      </w:pPr>
    </w:p>
    <w:p w:rsidRPr="0025590B" w:rsidR="00BF118F" w:rsidP="0025590B" w:rsidRDefault="00BF118F">
      <w:pPr>
        <w:jc w:val="center"/>
        <w:rPr>
          <w:lang w:val="en-GB"/>
        </w:rPr>
      </w:pPr>
    </w:p>
    <w:p w:rsidRPr="0025590B" w:rsidR="00E244D3" w:rsidP="0025590B" w:rsidRDefault="00E244D3">
      <w:pPr>
        <w:jc w:val="center"/>
        <w:rPr>
          <w:lang w:val="en-GB"/>
        </w:rPr>
      </w:pPr>
    </w:p>
    <w:p w:rsidRPr="0025590B" w:rsidR="00BF118F" w:rsidP="0025590B" w:rsidRDefault="00BF118F">
      <w:pPr>
        <w:jc w:val="center"/>
        <w:rPr>
          <w:lang w:val="en-GB"/>
        </w:rPr>
      </w:pPr>
    </w:p>
    <w:p w:rsidRPr="0025590B" w:rsidR="0025590B" w:rsidP="0025590B" w:rsidRDefault="0025590B">
      <w:pPr>
        <w:jc w:val="center"/>
        <w:rPr>
          <w:lang w:val="en-GB"/>
        </w:rPr>
      </w:pPr>
    </w:p>
    <w:p w:rsidRPr="0025590B" w:rsidR="0098410D" w:rsidP="0025590B" w:rsidRDefault="0098410D">
      <w:pPr>
        <w:jc w:val="center"/>
        <w:rPr>
          <w:lang w:val="en-GB"/>
        </w:rPr>
      </w:pPr>
    </w:p>
    <w:p w:rsidRPr="0025590B" w:rsidR="008E6217" w:rsidP="0025590B" w:rsidRDefault="008E6217">
      <w:pPr>
        <w:jc w:val="center"/>
        <w:rPr>
          <w:b/>
          <w:lang w:val="en-GB"/>
        </w:rPr>
      </w:pPr>
      <w:bookmarkStart w:name="To" w:id="1"/>
      <w:r w:rsidRPr="0025590B">
        <w:rPr>
          <w:b/>
          <w:lang w:val="en-GB"/>
        </w:rPr>
        <w:t xml:space="preserve">CASE OF </w:t>
      </w:r>
      <w:bookmarkEnd w:id="1"/>
      <w:r w:rsidRPr="0025590B" w:rsidR="001962A0">
        <w:rPr>
          <w:b/>
          <w:lang w:val="en-GB"/>
        </w:rPr>
        <w:t>S.V. v. ITALY</w:t>
      </w:r>
    </w:p>
    <w:p w:rsidRPr="0025590B" w:rsidR="00170027" w:rsidP="0025590B" w:rsidRDefault="00170027">
      <w:pPr>
        <w:jc w:val="center"/>
        <w:rPr>
          <w:b/>
          <w:lang w:val="en-GB"/>
        </w:rPr>
      </w:pPr>
    </w:p>
    <w:p w:rsidRPr="0025590B" w:rsidR="00D74888" w:rsidP="0025590B" w:rsidRDefault="008E6217">
      <w:pPr>
        <w:jc w:val="center"/>
        <w:rPr>
          <w:i/>
          <w:lang w:val="en-GB"/>
        </w:rPr>
      </w:pPr>
      <w:r w:rsidRPr="0025590B">
        <w:rPr>
          <w:i/>
          <w:lang w:val="en-GB"/>
        </w:rPr>
        <w:t>(</w:t>
      </w:r>
      <w:r w:rsidRPr="0025590B" w:rsidR="001962A0">
        <w:rPr>
          <w:i/>
          <w:lang w:val="en-GB"/>
        </w:rPr>
        <w:t>Application no.</w:t>
      </w:r>
      <w:r w:rsidRPr="0025590B">
        <w:rPr>
          <w:i/>
          <w:lang w:val="en-GB"/>
        </w:rPr>
        <w:t xml:space="preserve"> </w:t>
      </w:r>
      <w:r w:rsidRPr="0025590B" w:rsidR="001962A0">
        <w:rPr>
          <w:i/>
          <w:lang w:val="en-GB"/>
        </w:rPr>
        <w:t>55216/08</w:t>
      </w:r>
      <w:r w:rsidRPr="0025590B">
        <w:rPr>
          <w:i/>
          <w:lang w:val="en-GB"/>
        </w:rPr>
        <w:t>)</w:t>
      </w:r>
    </w:p>
    <w:p w:rsidRPr="0025590B" w:rsidR="0098410D" w:rsidP="0025590B" w:rsidRDefault="0098410D">
      <w:pPr>
        <w:jc w:val="center"/>
        <w:rPr>
          <w:i/>
          <w:lang w:val="en-GB"/>
        </w:rPr>
      </w:pP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E244D3" w:rsidP="0025590B" w:rsidRDefault="00E244D3">
      <w:pPr>
        <w:jc w:val="center"/>
        <w:rPr>
          <w:lang w:val="en-GB"/>
        </w:rPr>
      </w:pP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98410D" w:rsidP="0025590B" w:rsidRDefault="0098410D">
      <w:pPr>
        <w:jc w:val="center"/>
        <w:outlineLvl w:val="0"/>
        <w:rPr>
          <w:lang w:val="en-GB"/>
        </w:rPr>
      </w:pPr>
      <w:r w:rsidRPr="0025590B">
        <w:rPr>
          <w:lang w:val="en-GB"/>
        </w:rPr>
        <w:t>JUDGMENT</w:t>
      </w:r>
    </w:p>
    <w:p w:rsidRPr="0025590B" w:rsidR="0098410D" w:rsidP="0025590B" w:rsidRDefault="0098410D">
      <w:pPr>
        <w:jc w:val="center"/>
        <w:rPr>
          <w:i/>
          <w:lang w:val="en-GB"/>
        </w:rPr>
      </w:pPr>
    </w:p>
    <w:p w:rsidRPr="0025590B" w:rsidR="00B3531C" w:rsidP="0025590B" w:rsidRDefault="00B3531C">
      <w:pPr>
        <w:jc w:val="center"/>
        <w:rPr>
          <w:i/>
          <w:lang w:val="en-GB"/>
        </w:rPr>
      </w:pPr>
    </w:p>
    <w:p w:rsidRPr="0025590B" w:rsidR="0098410D" w:rsidP="0025590B" w:rsidRDefault="0098410D">
      <w:pPr>
        <w:jc w:val="center"/>
        <w:outlineLvl w:val="0"/>
        <w:rPr>
          <w:lang w:val="en-GB"/>
        </w:rPr>
      </w:pPr>
      <w:r w:rsidRPr="0025590B">
        <w:rPr>
          <w:lang w:val="en-GB"/>
        </w:rPr>
        <w:t>STRASBOURG</w:t>
      </w:r>
    </w:p>
    <w:p w:rsidRPr="0025590B" w:rsidR="0098410D" w:rsidP="0025590B" w:rsidRDefault="0098410D">
      <w:pPr>
        <w:jc w:val="center"/>
        <w:rPr>
          <w:lang w:val="en-GB"/>
        </w:rPr>
      </w:pPr>
    </w:p>
    <w:p w:rsidRPr="0025590B" w:rsidR="0098410D" w:rsidP="0025590B" w:rsidRDefault="001962A0">
      <w:pPr>
        <w:jc w:val="center"/>
        <w:rPr>
          <w:lang w:val="en-GB"/>
        </w:rPr>
      </w:pPr>
      <w:r w:rsidRPr="0025590B">
        <w:rPr>
          <w:rFonts w:ascii="Times New Roman" w:hAnsi="Times New Roman" w:cs="Times New Roman"/>
          <w:lang w:val="en-GB"/>
        </w:rPr>
        <w:t>11 October 2018</w:t>
      </w:r>
    </w:p>
    <w:p w:rsidRPr="0025590B" w:rsidR="0098410D" w:rsidP="0025590B" w:rsidRDefault="0098410D">
      <w:pPr>
        <w:jc w:val="center"/>
        <w:rPr>
          <w:lang w:val="en-GB"/>
        </w:rPr>
      </w:pPr>
    </w:p>
    <w:p w:rsidRPr="0025590B" w:rsidR="0098410D" w:rsidP="0025590B" w:rsidRDefault="0098410D">
      <w:pPr>
        <w:jc w:val="center"/>
        <w:rPr>
          <w:lang w:val="en-GB"/>
        </w:rPr>
      </w:pPr>
    </w:p>
    <w:p w:rsidRPr="0025590B" w:rsidR="00E244D3" w:rsidP="0025590B" w:rsidRDefault="00E244D3">
      <w:pPr>
        <w:jc w:val="center"/>
        <w:rPr>
          <w:lang w:val="en-GB"/>
        </w:rPr>
      </w:pPr>
    </w:p>
    <w:p w:rsidRPr="0025590B" w:rsidR="0098410D" w:rsidP="0025590B" w:rsidRDefault="0098410D">
      <w:pPr>
        <w:jc w:val="center"/>
        <w:rPr>
          <w:lang w:val="en-GB"/>
        </w:rPr>
      </w:pPr>
    </w:p>
    <w:p w:rsidRPr="0025590B" w:rsidR="0025590B" w:rsidP="0025590B" w:rsidRDefault="0025590B">
      <w:pPr>
        <w:jc w:val="center"/>
        <w:rPr>
          <w:lang w:val="en-GB"/>
        </w:rPr>
      </w:pPr>
    </w:p>
    <w:p w:rsidRPr="0025590B" w:rsidR="002422B6" w:rsidP="0025590B" w:rsidRDefault="0098410D">
      <w:pPr>
        <w:rPr>
          <w:i/>
          <w:sz w:val="22"/>
          <w:lang w:val="en-GB"/>
        </w:rPr>
      </w:pPr>
      <w:r w:rsidRPr="0025590B">
        <w:rPr>
          <w:i/>
          <w:sz w:val="22"/>
          <w:lang w:val="en-GB"/>
        </w:rPr>
        <w:t xml:space="preserve">This judgment </w:t>
      </w:r>
      <w:r w:rsidRPr="0025590B" w:rsidR="00B3531C">
        <w:rPr>
          <w:i/>
          <w:sz w:val="22"/>
          <w:lang w:val="en-GB"/>
        </w:rPr>
        <w:t>has become</w:t>
      </w:r>
      <w:r w:rsidRPr="0025590B" w:rsidR="001962A0">
        <w:rPr>
          <w:i/>
          <w:sz w:val="22"/>
          <w:lang w:val="en-GB"/>
        </w:rPr>
        <w:t xml:space="preserve"> final </w:t>
      </w:r>
      <w:r w:rsidRPr="0025590B" w:rsidR="00455900">
        <w:rPr>
          <w:i/>
          <w:sz w:val="22"/>
          <w:lang w:val="en-GB"/>
        </w:rPr>
        <w:t>under</w:t>
      </w:r>
      <w:r w:rsidRPr="0025590B" w:rsidR="001962A0">
        <w:rPr>
          <w:i/>
          <w:sz w:val="22"/>
          <w:lang w:val="en-GB"/>
        </w:rPr>
        <w:t xml:space="preserve"> Article 44 § 2 of the Convention. It</w:t>
      </w:r>
      <w:r w:rsidRPr="0025590B">
        <w:rPr>
          <w:i/>
          <w:sz w:val="22"/>
          <w:lang w:val="en-GB"/>
        </w:rPr>
        <w:t xml:space="preserve"> may be subject to editorial revision.</w:t>
      </w:r>
    </w:p>
    <w:p w:rsidRPr="0025590B" w:rsidR="0098410D" w:rsidP="0025590B" w:rsidRDefault="0098410D">
      <w:pPr>
        <w:rPr>
          <w:lang w:val="en-GB"/>
        </w:rPr>
        <w:sectPr w:rsidRPr="0025590B" w:rsidR="0098410D">
          <w:headerReference w:type="default" r:id="rId8"/>
          <w:footerReference w:type="default" r:id="rId9"/>
          <w:headerReference w:type="first" r:id="rId10"/>
          <w:footnotePr>
            <w:numRestart w:val="eachSect"/>
          </w:footnotePr>
          <w:pgSz w:w="11906" w:h="16838" w:code="9"/>
          <w:pgMar w:top="2274" w:right="2274" w:bottom="2274" w:left="2274" w:header="1701" w:footer="720" w:gutter="0"/>
          <w:pgNumType w:start="1"/>
          <w:cols w:space="720"/>
          <w:noEndnote/>
        </w:sectPr>
      </w:pPr>
    </w:p>
    <w:p w:rsidRPr="0025590B" w:rsidR="0098410D" w:rsidP="0025590B" w:rsidRDefault="0098410D">
      <w:pPr>
        <w:pStyle w:val="JuCase"/>
        <w:rPr>
          <w:lang w:val="en-GB"/>
        </w:rPr>
      </w:pPr>
      <w:r w:rsidRPr="0025590B">
        <w:rPr>
          <w:lang w:val="en-GB"/>
        </w:rPr>
        <w:t xml:space="preserve">In the case of </w:t>
      </w:r>
      <w:r w:rsidRPr="0025590B" w:rsidR="001962A0">
        <w:rPr>
          <w:lang w:val="en-GB"/>
        </w:rPr>
        <w:t>S.V. v. Italy</w:t>
      </w:r>
      <w:r w:rsidRPr="0025590B">
        <w:rPr>
          <w:lang w:val="en-GB"/>
        </w:rPr>
        <w:t>,</w:t>
      </w:r>
    </w:p>
    <w:p w:rsidRPr="0025590B" w:rsidR="009F4C8F" w:rsidP="0025590B" w:rsidRDefault="009F4C8F">
      <w:pPr>
        <w:pStyle w:val="ECHRPara"/>
        <w:rPr>
          <w:lang w:val="en-GB"/>
        </w:rPr>
      </w:pPr>
      <w:r w:rsidRPr="0025590B">
        <w:rPr>
          <w:lang w:val="en-GB"/>
        </w:rPr>
        <w:t>The European Court of Human Rights (</w:t>
      </w:r>
      <w:r w:rsidRPr="0025590B" w:rsidR="001962A0">
        <w:rPr>
          <w:lang w:val="en-GB"/>
        </w:rPr>
        <w:t>First Section</w:t>
      </w:r>
      <w:r w:rsidRPr="0025590B">
        <w:rPr>
          <w:lang w:val="en-GB"/>
        </w:rPr>
        <w:t xml:space="preserve">), sitting as a </w:t>
      </w:r>
      <w:r w:rsidRPr="0025590B" w:rsidR="001962A0">
        <w:rPr>
          <w:lang w:val="en-GB"/>
        </w:rPr>
        <w:t>Chamber</w:t>
      </w:r>
      <w:r w:rsidRPr="0025590B">
        <w:rPr>
          <w:lang w:val="en-GB"/>
        </w:rPr>
        <w:t xml:space="preserve"> composed of:</w:t>
      </w:r>
    </w:p>
    <w:p w:rsidRPr="0025590B" w:rsidR="009F4C8F" w:rsidP="0025590B" w:rsidRDefault="00E9370E">
      <w:pPr>
        <w:pStyle w:val="ECHRDecisionBody"/>
        <w:rPr>
          <w:lang w:val="en-GB"/>
        </w:rPr>
      </w:pPr>
      <w:r w:rsidRPr="0025590B">
        <w:rPr>
          <w:lang w:val="en-GB"/>
        </w:rPr>
        <w:tab/>
        <w:t>Linos-Alexandre Sicilianos,</w:t>
      </w:r>
      <w:r w:rsidRPr="0025590B">
        <w:rPr>
          <w:i/>
          <w:lang w:val="en-GB"/>
        </w:rPr>
        <w:t xml:space="preserve"> President,</w:t>
      </w:r>
      <w:r w:rsidRPr="0025590B">
        <w:rPr>
          <w:i/>
          <w:lang w:val="en-GB"/>
        </w:rPr>
        <w:br/>
      </w:r>
      <w:r w:rsidRPr="0025590B">
        <w:rPr>
          <w:lang w:val="en-GB"/>
        </w:rPr>
        <w:tab/>
        <w:t>Kristina Pardalos,</w:t>
      </w:r>
      <w:r w:rsidRPr="0025590B">
        <w:rPr>
          <w:i/>
          <w:lang w:val="en-GB"/>
        </w:rPr>
        <w:br/>
      </w:r>
      <w:r w:rsidRPr="0025590B">
        <w:rPr>
          <w:lang w:val="en-GB"/>
        </w:rPr>
        <w:tab/>
        <w:t>Guido Raimondi,</w:t>
      </w:r>
      <w:r w:rsidRPr="0025590B">
        <w:rPr>
          <w:i/>
          <w:lang w:val="en-GB"/>
        </w:rPr>
        <w:br/>
      </w:r>
      <w:r w:rsidRPr="0025590B">
        <w:rPr>
          <w:lang w:val="en-GB"/>
        </w:rPr>
        <w:tab/>
        <w:t>Aleš Pejchal,</w:t>
      </w:r>
      <w:r w:rsidRPr="0025590B">
        <w:rPr>
          <w:i/>
          <w:lang w:val="en-GB"/>
        </w:rPr>
        <w:br/>
      </w:r>
      <w:r w:rsidRPr="0025590B">
        <w:rPr>
          <w:lang w:val="en-GB"/>
        </w:rPr>
        <w:tab/>
        <w:t>Ksenija Turković,</w:t>
      </w:r>
      <w:r w:rsidRPr="0025590B">
        <w:rPr>
          <w:i/>
          <w:lang w:val="en-GB"/>
        </w:rPr>
        <w:br/>
      </w:r>
      <w:r w:rsidRPr="0025590B">
        <w:rPr>
          <w:lang w:val="en-GB"/>
        </w:rPr>
        <w:tab/>
        <w:t>Armen Harutyunyan,</w:t>
      </w:r>
      <w:r w:rsidRPr="0025590B">
        <w:rPr>
          <w:i/>
          <w:lang w:val="en-GB"/>
        </w:rPr>
        <w:br/>
      </w:r>
      <w:r w:rsidRPr="0025590B">
        <w:rPr>
          <w:lang w:val="en-GB"/>
        </w:rPr>
        <w:tab/>
        <w:t>Pauliine Koskelo,</w:t>
      </w:r>
      <w:r w:rsidRPr="0025590B">
        <w:rPr>
          <w:i/>
          <w:lang w:val="en-GB"/>
        </w:rPr>
        <w:t xml:space="preserve"> judges,</w:t>
      </w:r>
      <w:r w:rsidRPr="0025590B" w:rsidR="009F4C8F">
        <w:rPr>
          <w:szCs w:val="24"/>
          <w:lang w:val="en-GB"/>
        </w:rPr>
        <w:br/>
      </w:r>
      <w:r w:rsidRPr="0025590B" w:rsidR="009F4C8F">
        <w:rPr>
          <w:lang w:val="en-GB"/>
        </w:rPr>
        <w:t xml:space="preserve">and </w:t>
      </w:r>
      <w:r w:rsidRPr="0025590B" w:rsidR="001962A0">
        <w:rPr>
          <w:lang w:val="en-GB"/>
        </w:rPr>
        <w:t>Abel Campos</w:t>
      </w:r>
      <w:r w:rsidRPr="0025590B" w:rsidR="009F4C8F">
        <w:rPr>
          <w:lang w:val="en-GB"/>
        </w:rPr>
        <w:t xml:space="preserve">, </w:t>
      </w:r>
      <w:r w:rsidRPr="0025590B" w:rsidR="001962A0">
        <w:rPr>
          <w:i/>
          <w:lang w:val="en-GB"/>
        </w:rPr>
        <w:t xml:space="preserve">Section </w:t>
      </w:r>
      <w:r w:rsidRPr="0025590B" w:rsidR="001962A0">
        <w:rPr>
          <w:i/>
          <w:iCs/>
          <w:lang w:val="en-GB"/>
        </w:rPr>
        <w:t>Registrar</w:t>
      </w:r>
      <w:r w:rsidRPr="0025590B" w:rsidR="009F4C8F">
        <w:rPr>
          <w:i/>
          <w:lang w:val="en-GB"/>
        </w:rPr>
        <w:t>,</w:t>
      </w:r>
    </w:p>
    <w:p w:rsidRPr="0025590B" w:rsidR="009F4C8F" w:rsidP="0025590B" w:rsidRDefault="009F4C8F">
      <w:pPr>
        <w:pStyle w:val="ECHRPara"/>
        <w:rPr>
          <w:lang w:val="en-GB"/>
        </w:rPr>
      </w:pPr>
      <w:r w:rsidRPr="0025590B">
        <w:rPr>
          <w:lang w:val="en-GB"/>
        </w:rPr>
        <w:t xml:space="preserve">Having deliberated in private on </w:t>
      </w:r>
      <w:r w:rsidRPr="0025590B" w:rsidR="00E9370E">
        <w:rPr>
          <w:szCs w:val="24"/>
          <w:lang w:val="en-GB"/>
        </w:rPr>
        <w:t>18 September</w:t>
      </w:r>
      <w:r w:rsidRPr="0025590B" w:rsidR="001962A0">
        <w:rPr>
          <w:szCs w:val="24"/>
          <w:lang w:val="en-GB"/>
        </w:rPr>
        <w:t xml:space="preserve"> 2018</w:t>
      </w:r>
      <w:r w:rsidRPr="0025590B">
        <w:rPr>
          <w:lang w:val="en-GB"/>
        </w:rPr>
        <w:t>,</w:t>
      </w:r>
    </w:p>
    <w:p w:rsidRPr="0025590B" w:rsidR="009F4C8F" w:rsidP="0025590B" w:rsidRDefault="009F4C8F">
      <w:pPr>
        <w:pStyle w:val="ECHRPara"/>
        <w:rPr>
          <w:lang w:val="en-GB"/>
        </w:rPr>
      </w:pPr>
      <w:r w:rsidRPr="0025590B">
        <w:rPr>
          <w:lang w:val="en-GB"/>
        </w:rPr>
        <w:t>Delivers the following judgment, which was adopted on that date:</w:t>
      </w:r>
    </w:p>
    <w:p w:rsidRPr="0025590B" w:rsidR="001962A0" w:rsidP="0025590B" w:rsidRDefault="001962A0">
      <w:pPr>
        <w:pStyle w:val="ECHRTitle1"/>
        <w:rPr>
          <w:lang w:val="en-GB"/>
        </w:rPr>
      </w:pPr>
      <w:r w:rsidRPr="0025590B">
        <w:rPr>
          <w:lang w:val="en-GB"/>
        </w:rPr>
        <w:t>PROCEDURE</w:t>
      </w:r>
    </w:p>
    <w:p w:rsidRPr="0025590B" w:rsidR="001962A0" w:rsidP="0025590B" w:rsidRDefault="00E9370E">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w:t>
      </w:r>
      <w:r w:rsidRPr="0025590B">
        <w:rPr>
          <w:lang w:val="en-GB"/>
        </w:rPr>
        <w:fldChar w:fldCharType="end"/>
      </w:r>
      <w:r w:rsidRPr="0025590B">
        <w:rPr>
          <w:lang w:val="en-GB"/>
        </w:rPr>
        <w:t>.  </w:t>
      </w:r>
      <w:r w:rsidRPr="0025590B" w:rsidR="001962A0">
        <w:rPr>
          <w:lang w:val="en-GB"/>
        </w:rPr>
        <w:t>The case originated in an application (no. 55216/08) against the Italian Republic lodged with the Court under Article 34 of the Convention for the Protection of Human Rights and Fundamental Freedoms (“the Convention”) by an Italian national, Ms S.V. (“the applicant”), on 13</w:t>
      </w:r>
      <w:r w:rsidRPr="0025590B" w:rsidR="00E91685">
        <w:rPr>
          <w:lang w:val="en-GB"/>
        </w:rPr>
        <w:t> </w:t>
      </w:r>
      <w:r w:rsidRPr="0025590B" w:rsidR="001962A0">
        <w:rPr>
          <w:lang w:val="en-GB"/>
        </w:rPr>
        <w:t xml:space="preserve">November 2008. The President of the Section acceded to the </w:t>
      </w:r>
      <w:r w:rsidRPr="0025590B" w:rsidR="001962A0">
        <w:rPr>
          <w:szCs w:val="24"/>
          <w:lang w:val="en-GB"/>
        </w:rPr>
        <w:t>applicant</w:t>
      </w:r>
      <w:r w:rsidRPr="0025590B" w:rsidR="0025590B">
        <w:rPr>
          <w:szCs w:val="24"/>
          <w:lang w:val="en-GB"/>
        </w:rPr>
        <w:t>’</w:t>
      </w:r>
      <w:r w:rsidRPr="0025590B">
        <w:rPr>
          <w:szCs w:val="24"/>
          <w:lang w:val="en-GB"/>
        </w:rPr>
        <w:t>s</w:t>
      </w:r>
      <w:r w:rsidRPr="0025590B" w:rsidR="001962A0">
        <w:rPr>
          <w:lang w:val="en-GB"/>
        </w:rPr>
        <w:t xml:space="preserve"> request not to have </w:t>
      </w:r>
      <w:r w:rsidRPr="0025590B">
        <w:rPr>
          <w:lang w:val="en-GB"/>
        </w:rPr>
        <w:t>her</w:t>
      </w:r>
      <w:r w:rsidRPr="0025590B" w:rsidR="001962A0">
        <w:rPr>
          <w:lang w:val="en-GB"/>
        </w:rPr>
        <w:t xml:space="preserve"> </w:t>
      </w:r>
      <w:r w:rsidRPr="0025590B" w:rsidR="00B3531C">
        <w:rPr>
          <w:lang w:val="en-GB"/>
        </w:rPr>
        <w:t>identity</w:t>
      </w:r>
      <w:r w:rsidRPr="0025590B" w:rsidR="001962A0">
        <w:rPr>
          <w:lang w:val="en-GB"/>
        </w:rPr>
        <w:t xml:space="preserve"> disclosed (Rule 47 § 4 of the Rules of Court).</w:t>
      </w:r>
    </w:p>
    <w:p w:rsidRPr="0025590B" w:rsidR="0025590B" w:rsidP="0025590B" w:rsidRDefault="00E9370E">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w:t>
      </w:r>
      <w:r w:rsidRPr="0025590B">
        <w:rPr>
          <w:lang w:val="en-GB"/>
        </w:rPr>
        <w:fldChar w:fldCharType="end"/>
      </w:r>
      <w:r w:rsidRPr="0025590B">
        <w:rPr>
          <w:lang w:val="en-GB"/>
        </w:rPr>
        <w:t>.  </w:t>
      </w:r>
      <w:r w:rsidRPr="0025590B" w:rsidR="001962A0">
        <w:rPr>
          <w:lang w:val="en-GB"/>
        </w:rPr>
        <w:t>The applicant was represented by Mr M. De Stefano and Mr</w:t>
      </w:r>
      <w:r w:rsidRPr="0025590B" w:rsidR="00E91685">
        <w:rPr>
          <w:lang w:val="en-GB"/>
        </w:rPr>
        <w:t> </w:t>
      </w:r>
      <w:r w:rsidRPr="0025590B">
        <w:rPr>
          <w:lang w:val="en-GB"/>
        </w:rPr>
        <w:t>G.</w:t>
      </w:r>
      <w:r w:rsidRPr="0025590B" w:rsidR="00E91685">
        <w:rPr>
          <w:lang w:val="en-GB"/>
        </w:rPr>
        <w:t> </w:t>
      </w:r>
      <w:r w:rsidRPr="0025590B">
        <w:rPr>
          <w:lang w:val="en-GB"/>
        </w:rPr>
        <w:t>Guercio</w:t>
      </w:r>
      <w:r w:rsidRPr="0025590B" w:rsidR="001962A0">
        <w:rPr>
          <w:lang w:val="en-GB"/>
        </w:rPr>
        <w:t>, lawyers practising in Rome. The Italian Government (“the Government”) were represented by their Agent, Ms</w:t>
      </w:r>
      <w:r w:rsidRPr="0025590B">
        <w:rPr>
          <w:lang w:val="en-GB"/>
        </w:rPr>
        <w:t xml:space="preserve"> E. Spatafora.</w:t>
      </w:r>
    </w:p>
    <w:p w:rsidRPr="0025590B" w:rsidR="001962A0" w:rsidP="0025590B" w:rsidRDefault="00E9370E">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w:t>
      </w:r>
      <w:r w:rsidRPr="0025590B">
        <w:rPr>
          <w:lang w:val="en-GB"/>
        </w:rPr>
        <w:fldChar w:fldCharType="end"/>
      </w:r>
      <w:r w:rsidRPr="0025590B">
        <w:rPr>
          <w:lang w:val="en-GB"/>
        </w:rPr>
        <w:t>.  </w:t>
      </w:r>
      <w:r w:rsidRPr="0025590B" w:rsidR="001962A0">
        <w:rPr>
          <w:lang w:val="en-GB"/>
        </w:rPr>
        <w:t xml:space="preserve">On </w:t>
      </w:r>
      <w:r w:rsidRPr="0025590B" w:rsidR="001962A0">
        <w:rPr>
          <w:szCs w:val="24"/>
          <w:lang w:val="en-GB"/>
        </w:rPr>
        <w:t>20 March 2016</w:t>
      </w:r>
      <w:r w:rsidRPr="0025590B" w:rsidR="001962A0">
        <w:rPr>
          <w:lang w:val="en-GB"/>
        </w:rPr>
        <w:t xml:space="preserve"> </w:t>
      </w:r>
      <w:r w:rsidRPr="0025590B">
        <w:rPr>
          <w:lang w:val="en-GB"/>
        </w:rPr>
        <w:t xml:space="preserve">the Government were given </w:t>
      </w:r>
      <w:r w:rsidRPr="0025590B" w:rsidR="001962A0">
        <w:rPr>
          <w:lang w:val="en-GB"/>
        </w:rPr>
        <w:t xml:space="preserve">notice of the </w:t>
      </w:r>
      <w:r w:rsidRPr="0025590B" w:rsidR="001962A0">
        <w:rPr>
          <w:szCs w:val="24"/>
          <w:lang w:val="en-GB"/>
        </w:rPr>
        <w:t>application</w:t>
      </w:r>
      <w:r w:rsidRPr="0025590B" w:rsidR="001962A0">
        <w:rPr>
          <w:lang w:val="en-GB"/>
        </w:rPr>
        <w:t>.</w:t>
      </w:r>
    </w:p>
    <w:p w:rsidRPr="0025590B" w:rsidR="00E9370E" w:rsidP="0025590B" w:rsidRDefault="00E9370E">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w:t>
      </w:r>
      <w:r w:rsidRPr="0025590B">
        <w:rPr>
          <w:lang w:val="en-GB"/>
        </w:rPr>
        <w:fldChar w:fldCharType="end"/>
      </w:r>
      <w:r w:rsidRPr="0025590B">
        <w:rPr>
          <w:lang w:val="en-GB"/>
        </w:rPr>
        <w:t xml:space="preserve">.  On 19 September 2016 the non-governmental organisations Alliance Defending Freedom and </w:t>
      </w:r>
      <w:r w:rsidRPr="0025590B">
        <w:rPr>
          <w:i/>
          <w:lang w:val="en-GB"/>
        </w:rPr>
        <w:t>Unione Giuristi Cattolici Italiani</w:t>
      </w:r>
      <w:r w:rsidRPr="0025590B">
        <w:rPr>
          <w:lang w:val="en-GB"/>
        </w:rPr>
        <w:t xml:space="preserve"> were given leave to intervene jointly in the written procedure (Article 36 § 2 of the Convention and Rule 44 § 3).</w:t>
      </w:r>
    </w:p>
    <w:p w:rsidRPr="0025590B" w:rsidR="001962A0" w:rsidP="0025590B" w:rsidRDefault="001962A0">
      <w:pPr>
        <w:pStyle w:val="ECHRTitle1"/>
        <w:rPr>
          <w:lang w:val="en-GB"/>
        </w:rPr>
      </w:pPr>
      <w:r w:rsidRPr="0025590B">
        <w:rPr>
          <w:lang w:val="en-GB"/>
        </w:rPr>
        <w:t>THE FACTS</w:t>
      </w:r>
    </w:p>
    <w:p w:rsidRPr="0025590B" w:rsidR="001962A0" w:rsidP="0025590B" w:rsidRDefault="001962A0">
      <w:pPr>
        <w:pStyle w:val="ECHRHeading1"/>
        <w:rPr>
          <w:lang w:val="en-GB"/>
        </w:rPr>
      </w:pPr>
      <w:r w:rsidRPr="0025590B">
        <w:rPr>
          <w:lang w:val="en-GB"/>
        </w:rPr>
        <w:t>I.  THE CIRCUMSTANCES OF THE CASE</w:t>
      </w:r>
    </w:p>
    <w:p w:rsidRPr="0025590B" w:rsidR="001962A0"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w:t>
      </w:r>
      <w:r w:rsidRPr="0025590B">
        <w:rPr>
          <w:lang w:val="en-GB"/>
        </w:rPr>
        <w:fldChar w:fldCharType="end"/>
      </w:r>
      <w:r w:rsidRPr="0025590B">
        <w:rPr>
          <w:lang w:val="en-GB"/>
        </w:rPr>
        <w:t>.  </w:t>
      </w:r>
      <w:r w:rsidRPr="0025590B" w:rsidR="001962A0">
        <w:rPr>
          <w:lang w:val="en-GB"/>
        </w:rPr>
        <w:t>The applicant was born in 1965 and lives in Ostia Lido.</w:t>
      </w:r>
    </w:p>
    <w:p w:rsidRPr="0025590B" w:rsidR="00664EF1"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w:t>
      </w:r>
      <w:r w:rsidRPr="0025590B">
        <w:rPr>
          <w:lang w:val="en-GB"/>
        </w:rPr>
        <w:fldChar w:fldCharType="end"/>
      </w:r>
      <w:r w:rsidRPr="0025590B">
        <w:rPr>
          <w:lang w:val="en-GB"/>
        </w:rPr>
        <w:t>.  </w:t>
      </w:r>
      <w:r w:rsidRPr="0025590B" w:rsidR="00664EF1">
        <w:rPr>
          <w:lang w:val="en-GB"/>
        </w:rPr>
        <w:t xml:space="preserve">At birth, the applicant was entered in the civil-status registers as male and was given the forename L. However, the applicant stated that she had always identified as female and lived in society as a woman under the forename S. For instance, her work colleagues (the applicant has worked as a civil servant since 1999) </w:t>
      </w:r>
      <w:r w:rsidRPr="0025590B" w:rsidR="00DE40C9">
        <w:rPr>
          <w:lang w:val="en-GB"/>
        </w:rPr>
        <w:t>had</w:t>
      </w:r>
      <w:r w:rsidRPr="0025590B" w:rsidR="00664EF1">
        <w:rPr>
          <w:lang w:val="en-GB"/>
        </w:rPr>
        <w:t xml:space="preserve"> always called her S., and in the photograph on her identity card issued in August 2000 her appearance </w:t>
      </w:r>
      <w:r w:rsidRPr="0025590B" w:rsidR="00DE40C9">
        <w:rPr>
          <w:lang w:val="en-GB"/>
        </w:rPr>
        <w:t>was</w:t>
      </w:r>
      <w:r w:rsidRPr="0025590B" w:rsidR="00664EF1">
        <w:rPr>
          <w:lang w:val="en-GB"/>
        </w:rPr>
        <w:t xml:space="preserve"> that of a woman.</w:t>
      </w:r>
    </w:p>
    <w:p w:rsidRPr="0025590B" w:rsidR="00250864"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w:t>
      </w:r>
      <w:r w:rsidRPr="0025590B">
        <w:rPr>
          <w:lang w:val="en-GB"/>
        </w:rPr>
        <w:fldChar w:fldCharType="end"/>
      </w:r>
      <w:r w:rsidRPr="0025590B">
        <w:rPr>
          <w:lang w:val="en-GB"/>
        </w:rPr>
        <w:t>.  </w:t>
      </w:r>
      <w:r w:rsidRPr="0025590B" w:rsidR="00DA0A4A">
        <w:rPr>
          <w:lang w:val="en-GB"/>
        </w:rPr>
        <w:t>In 1999 S.V. began treatment with feminising hormones as part of the gender transition process.</w:t>
      </w:r>
    </w:p>
    <w:p w:rsidRPr="0025590B" w:rsidR="00DA0A4A"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w:t>
      </w:r>
      <w:r w:rsidRPr="0025590B">
        <w:rPr>
          <w:lang w:val="en-GB"/>
        </w:rPr>
        <w:fldChar w:fldCharType="end"/>
      </w:r>
      <w:r w:rsidRPr="0025590B">
        <w:rPr>
          <w:lang w:val="en-GB"/>
        </w:rPr>
        <w:t>.  </w:t>
      </w:r>
      <w:r w:rsidRPr="0025590B" w:rsidR="00DA0A4A">
        <w:rPr>
          <w:lang w:val="en-GB"/>
        </w:rPr>
        <w:t>On 9 November 2000 she applied to the Rome District Court on the basis of section 3 of Law no. 164 of 1982, stating that she wished to complete the transition process by permanently changing her primary sexual characteristics</w:t>
      </w:r>
      <w:r w:rsidRPr="0025590B" w:rsidR="00B3531C">
        <w:rPr>
          <w:lang w:val="en-GB"/>
        </w:rPr>
        <w:t>,</w:t>
      </w:r>
      <w:r w:rsidRPr="0025590B" w:rsidR="00DA0A4A">
        <w:rPr>
          <w:lang w:val="en-GB"/>
        </w:rPr>
        <w:t xml:space="preserve"> and </w:t>
      </w:r>
      <w:r w:rsidRPr="0025590B" w:rsidR="00B3531C">
        <w:rPr>
          <w:lang w:val="en-GB"/>
        </w:rPr>
        <w:t>sought</w:t>
      </w:r>
      <w:r w:rsidRPr="0025590B" w:rsidR="00DA0A4A">
        <w:rPr>
          <w:lang w:val="en-GB"/>
        </w:rPr>
        <w:t xml:space="preserve"> </w:t>
      </w:r>
      <w:r w:rsidRPr="0025590B" w:rsidR="00B3531C">
        <w:rPr>
          <w:lang w:val="en-GB"/>
        </w:rPr>
        <w:t>authorisation</w:t>
      </w:r>
      <w:r w:rsidRPr="0025590B" w:rsidR="00DA0A4A">
        <w:rPr>
          <w:lang w:val="en-GB"/>
        </w:rPr>
        <w:t xml:space="preserve"> to </w:t>
      </w:r>
      <w:r w:rsidRPr="0025590B" w:rsidR="00361248">
        <w:rPr>
          <w:lang w:val="en-GB"/>
        </w:rPr>
        <w:t>undergo gender reassignment surgery.</w:t>
      </w:r>
    </w:p>
    <w:p w:rsidRPr="0025590B" w:rsidR="00DA0A4A" w:rsidP="0025590B" w:rsidRDefault="00361248">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9</w:t>
      </w:r>
      <w:r w:rsidRPr="0025590B">
        <w:rPr>
          <w:lang w:val="en-GB"/>
        </w:rPr>
        <w:fldChar w:fldCharType="end"/>
      </w:r>
      <w:r w:rsidRPr="0025590B">
        <w:rPr>
          <w:lang w:val="en-GB"/>
        </w:rPr>
        <w:t xml:space="preserve">.  In a judgment of 10 May 2001 the District Court found that the applicant had embarked on the gender transition process after careful consideration. </w:t>
      </w:r>
      <w:r w:rsidRPr="0025590B" w:rsidR="00B3531C">
        <w:rPr>
          <w:lang w:val="en-GB"/>
        </w:rPr>
        <w:t>Having taken</w:t>
      </w:r>
      <w:r w:rsidRPr="0025590B">
        <w:rPr>
          <w:lang w:val="en-GB"/>
        </w:rPr>
        <w:t xml:space="preserve"> note of her determination the court authorised her to undergo surgery in order to </w:t>
      </w:r>
      <w:r w:rsidRPr="0025590B" w:rsidR="005F02E7">
        <w:rPr>
          <w:lang w:val="en-GB"/>
        </w:rPr>
        <w:t>adapt</w:t>
      </w:r>
      <w:r w:rsidRPr="0025590B">
        <w:rPr>
          <w:lang w:val="en-GB"/>
        </w:rPr>
        <w:t xml:space="preserve"> her primary sexual characteristics </w:t>
      </w:r>
      <w:r w:rsidRPr="0025590B" w:rsidR="005F02E7">
        <w:rPr>
          <w:lang w:val="en-GB"/>
        </w:rPr>
        <w:t>to match</w:t>
      </w:r>
      <w:r w:rsidRPr="0025590B">
        <w:rPr>
          <w:lang w:val="en-GB"/>
        </w:rPr>
        <w:t xml:space="preserve"> her female gender identity.</w:t>
      </w:r>
    </w:p>
    <w:p w:rsidRPr="0025590B" w:rsidR="00361248" w:rsidP="0025590B" w:rsidRDefault="00361248">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10</w:t>
      </w:r>
      <w:r w:rsidRPr="0025590B">
        <w:rPr>
          <w:lang w:val="en-GB"/>
        </w:rPr>
        <w:fldChar w:fldCharType="end"/>
      </w:r>
      <w:r w:rsidRPr="0025590B">
        <w:rPr>
          <w:lang w:val="en-GB"/>
        </w:rPr>
        <w:t xml:space="preserve">.  On 30 May 2001 the applicant, while awaiting the surgery authorised by the District Court, applied to the prefect of Rome for a change of forename under Article 89 of Presidential Decree no. 396 of 2000. </w:t>
      </w:r>
      <w:r w:rsidRPr="0025590B" w:rsidR="005617D7">
        <w:rPr>
          <w:lang w:val="en-GB"/>
        </w:rPr>
        <w:t xml:space="preserve">She argued that, given that she had been undergoing a gender transition process for several years, and in view of her physical appearance, the fact that her identity papers </w:t>
      </w:r>
      <w:r w:rsidRPr="0025590B" w:rsidR="00DE40C9">
        <w:rPr>
          <w:lang w:val="en-GB"/>
        </w:rPr>
        <w:t>indicated</w:t>
      </w:r>
      <w:r w:rsidRPr="0025590B" w:rsidR="005617D7">
        <w:rPr>
          <w:lang w:val="en-GB"/>
        </w:rPr>
        <w:t xml:space="preserve"> a male forename was a constant source of humiliation and embarrassment. She also asserted that the waiting period for surgery was approximately four years.</w:t>
      </w:r>
    </w:p>
    <w:p w:rsidRPr="0025590B" w:rsidR="005617D7" w:rsidP="0025590B" w:rsidRDefault="005617D7">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11</w:t>
      </w:r>
      <w:r w:rsidRPr="0025590B">
        <w:rPr>
          <w:lang w:val="en-GB"/>
        </w:rPr>
        <w:fldChar w:fldCharType="end"/>
      </w:r>
      <w:r w:rsidRPr="0025590B">
        <w:rPr>
          <w:lang w:val="en-GB"/>
        </w:rPr>
        <w:t>.  In a decision of 4 July 2001 the prefect refused the</w:t>
      </w:r>
      <w:r w:rsidRPr="0025590B" w:rsidR="00DE5658">
        <w:rPr>
          <w:lang w:val="en-GB"/>
        </w:rPr>
        <w:t xml:space="preserve"> applicant</w:t>
      </w:r>
      <w:r w:rsidRPr="0025590B" w:rsidR="0025590B">
        <w:rPr>
          <w:lang w:val="en-GB"/>
        </w:rPr>
        <w:t>’</w:t>
      </w:r>
      <w:r w:rsidRPr="0025590B" w:rsidR="00DE5658">
        <w:rPr>
          <w:lang w:val="en-GB"/>
        </w:rPr>
        <w:t>s</w:t>
      </w:r>
      <w:r w:rsidRPr="0025590B">
        <w:rPr>
          <w:lang w:val="en-GB"/>
        </w:rPr>
        <w:t xml:space="preserve"> request on the grounds that, under Presidential Decree no. 396 of 2000, a person</w:t>
      </w:r>
      <w:r w:rsidRPr="0025590B" w:rsidR="0025590B">
        <w:rPr>
          <w:lang w:val="en-GB"/>
        </w:rPr>
        <w:t>’</w:t>
      </w:r>
      <w:r w:rsidRPr="0025590B">
        <w:rPr>
          <w:lang w:val="en-GB"/>
        </w:rPr>
        <w:t>s forename had to correspond to his or her gender. In the prefect</w:t>
      </w:r>
      <w:r w:rsidRPr="0025590B" w:rsidR="0025590B">
        <w:rPr>
          <w:lang w:val="en-GB"/>
        </w:rPr>
        <w:t>’</w:t>
      </w:r>
      <w:r w:rsidRPr="0025590B">
        <w:rPr>
          <w:lang w:val="en-GB"/>
        </w:rPr>
        <w:t xml:space="preserve">s view, in the absence of a final court ruling </w:t>
      </w:r>
      <w:r w:rsidRPr="0025590B" w:rsidR="009A2EE5">
        <w:rPr>
          <w:lang w:val="en-GB"/>
        </w:rPr>
        <w:t>ordering the</w:t>
      </w:r>
      <w:r w:rsidRPr="0025590B" w:rsidR="00E51DBF">
        <w:rPr>
          <w:lang w:val="en-GB"/>
        </w:rPr>
        <w:t xml:space="preserve"> change </w:t>
      </w:r>
      <w:r w:rsidRPr="0025590B" w:rsidR="009A2EE5">
        <w:rPr>
          <w:lang w:val="en-GB"/>
        </w:rPr>
        <w:t xml:space="preserve">to her </w:t>
      </w:r>
      <w:r w:rsidRPr="0025590B" w:rsidR="00E51DBF">
        <w:rPr>
          <w:lang w:val="en-GB"/>
        </w:rPr>
        <w:t xml:space="preserve">legal </w:t>
      </w:r>
      <w:r w:rsidRPr="0025590B">
        <w:rPr>
          <w:lang w:val="en-GB"/>
        </w:rPr>
        <w:t xml:space="preserve">gender </w:t>
      </w:r>
      <w:r w:rsidRPr="0025590B" w:rsidR="00930CE9">
        <w:rPr>
          <w:lang w:val="en-GB"/>
        </w:rPr>
        <w:t xml:space="preserve">status </w:t>
      </w:r>
      <w:r w:rsidRPr="0025590B">
        <w:rPr>
          <w:lang w:val="en-GB"/>
        </w:rPr>
        <w:t>for the purposes of Law no. 164 of 1982, the applicant</w:t>
      </w:r>
      <w:r w:rsidRPr="0025590B" w:rsidR="0025590B">
        <w:rPr>
          <w:lang w:val="en-GB"/>
        </w:rPr>
        <w:t>’</w:t>
      </w:r>
      <w:r w:rsidRPr="0025590B">
        <w:rPr>
          <w:lang w:val="en-GB"/>
        </w:rPr>
        <w:t>s forename could not be changed.</w:t>
      </w:r>
    </w:p>
    <w:p w:rsidRPr="0025590B" w:rsidR="005617D7"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12</w:t>
      </w:r>
      <w:r w:rsidRPr="0025590B">
        <w:rPr>
          <w:lang w:val="en-GB"/>
        </w:rPr>
        <w:fldChar w:fldCharType="end"/>
      </w:r>
      <w:r w:rsidRPr="0025590B">
        <w:rPr>
          <w:lang w:val="en-GB"/>
        </w:rPr>
        <w:t>.  </w:t>
      </w:r>
      <w:r w:rsidRPr="0025590B" w:rsidR="005617D7">
        <w:rPr>
          <w:lang w:val="en-GB"/>
        </w:rPr>
        <w:t xml:space="preserve">The applicant appealed against that decision to the Lazio Regional Administrative Court and also requested </w:t>
      </w:r>
      <w:r w:rsidRPr="0025590B" w:rsidR="0033427A">
        <w:rPr>
          <w:lang w:val="en-GB"/>
        </w:rPr>
        <w:t>a stay of execution of the prefect</w:t>
      </w:r>
      <w:r w:rsidRPr="0025590B" w:rsidR="0025590B">
        <w:rPr>
          <w:lang w:val="en-GB"/>
        </w:rPr>
        <w:t>’</w:t>
      </w:r>
      <w:r w:rsidRPr="0025590B" w:rsidR="0033427A">
        <w:rPr>
          <w:lang w:val="en-GB"/>
        </w:rPr>
        <w:t>s decision.</w:t>
      </w:r>
    </w:p>
    <w:p w:rsidRPr="0025590B" w:rsidR="0033427A"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13</w:t>
      </w:r>
      <w:r w:rsidRPr="0025590B">
        <w:rPr>
          <w:lang w:val="en-GB"/>
        </w:rPr>
        <w:fldChar w:fldCharType="end"/>
      </w:r>
      <w:r w:rsidRPr="0025590B">
        <w:rPr>
          <w:lang w:val="en-GB"/>
        </w:rPr>
        <w:t>.  </w:t>
      </w:r>
      <w:r w:rsidRPr="0025590B" w:rsidR="0033427A">
        <w:rPr>
          <w:lang w:val="en-GB"/>
        </w:rPr>
        <w:t>On 23 July 2001 the applicant underwent mammoplasty. On 6</w:t>
      </w:r>
      <w:r w:rsidRPr="0025590B" w:rsidR="00E91685">
        <w:rPr>
          <w:lang w:val="en-GB"/>
        </w:rPr>
        <w:t> </w:t>
      </w:r>
      <w:r w:rsidRPr="0025590B" w:rsidR="0033427A">
        <w:rPr>
          <w:lang w:val="en-GB"/>
        </w:rPr>
        <w:t xml:space="preserve">September 2001 she was placed on a waiting list at Trieste </w:t>
      </w:r>
      <w:r w:rsidRPr="0025590B" w:rsidR="00DE5658">
        <w:rPr>
          <w:lang w:val="en-GB"/>
        </w:rPr>
        <w:t>University H</w:t>
      </w:r>
      <w:r w:rsidRPr="0025590B" w:rsidR="0033427A">
        <w:rPr>
          <w:lang w:val="en-GB"/>
        </w:rPr>
        <w:t>ospital for surgery to alter her primary sexual characteristics.</w:t>
      </w:r>
    </w:p>
    <w:p w:rsidRPr="0025590B" w:rsidR="0033427A"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14</w:t>
      </w:r>
      <w:r w:rsidRPr="0025590B">
        <w:rPr>
          <w:lang w:val="en-GB"/>
        </w:rPr>
        <w:fldChar w:fldCharType="end"/>
      </w:r>
      <w:r w:rsidRPr="0025590B">
        <w:rPr>
          <w:lang w:val="en-GB"/>
        </w:rPr>
        <w:t>.  </w:t>
      </w:r>
      <w:r w:rsidRPr="0025590B" w:rsidR="0033427A">
        <w:rPr>
          <w:lang w:val="en-GB"/>
        </w:rPr>
        <w:t>On 21 February 2002 the Regional Administrative Court refused to grant a stay of execution of the prefect</w:t>
      </w:r>
      <w:r w:rsidRPr="0025590B" w:rsidR="0025590B">
        <w:rPr>
          <w:lang w:val="en-GB"/>
        </w:rPr>
        <w:t>’</w:t>
      </w:r>
      <w:r w:rsidRPr="0025590B" w:rsidR="0033427A">
        <w:rPr>
          <w:lang w:val="en-GB"/>
        </w:rPr>
        <w:t>s decision.</w:t>
      </w:r>
    </w:p>
    <w:p w:rsidRPr="0025590B" w:rsidR="0033427A"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15</w:t>
      </w:r>
      <w:r w:rsidRPr="0025590B">
        <w:rPr>
          <w:lang w:val="en-GB"/>
        </w:rPr>
        <w:fldChar w:fldCharType="end"/>
      </w:r>
      <w:r w:rsidRPr="0025590B">
        <w:rPr>
          <w:lang w:val="en-GB"/>
        </w:rPr>
        <w:t>.  </w:t>
      </w:r>
      <w:r w:rsidRPr="0025590B" w:rsidR="0033427A">
        <w:rPr>
          <w:lang w:val="en-GB"/>
        </w:rPr>
        <w:t>On 3 February 2003, while the proceedings before the Regional Administrative Court were still pending on the merits, the applicant underwent an operation to change her sexual characteristics from male to female. She subsequently applied to the Rome District Court, on an unspecified date, for legal recognition of her gender reassignment under section 3 of Law no. 164 of 1982.</w:t>
      </w:r>
    </w:p>
    <w:p w:rsidRPr="0025590B" w:rsidR="0033427A"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16</w:t>
      </w:r>
      <w:r w:rsidRPr="0025590B">
        <w:rPr>
          <w:lang w:val="en-GB"/>
        </w:rPr>
        <w:fldChar w:fldCharType="end"/>
      </w:r>
      <w:r w:rsidRPr="0025590B">
        <w:rPr>
          <w:lang w:val="en-GB"/>
        </w:rPr>
        <w:t>.  </w:t>
      </w:r>
      <w:r w:rsidRPr="0025590B" w:rsidR="0033427A">
        <w:rPr>
          <w:lang w:val="en-GB"/>
        </w:rPr>
        <w:t>In a judgment of 10 October 2003 the Rome District Court granted the applicant</w:t>
      </w:r>
      <w:r w:rsidRPr="0025590B" w:rsidR="0025590B">
        <w:rPr>
          <w:lang w:val="en-GB"/>
        </w:rPr>
        <w:t>’</w:t>
      </w:r>
      <w:r w:rsidRPr="0025590B" w:rsidR="0033427A">
        <w:rPr>
          <w:lang w:val="en-GB"/>
        </w:rPr>
        <w:t xml:space="preserve">s request and ordered the Savona municipal authorities to </w:t>
      </w:r>
      <w:r w:rsidRPr="0025590B" w:rsidR="003431D9">
        <w:rPr>
          <w:lang w:val="en-GB"/>
        </w:rPr>
        <w:t>alter the indication of the applicant</w:t>
      </w:r>
      <w:r w:rsidRPr="0025590B" w:rsidR="0025590B">
        <w:rPr>
          <w:lang w:val="en-GB"/>
        </w:rPr>
        <w:t>’</w:t>
      </w:r>
      <w:r w:rsidRPr="0025590B" w:rsidR="003431D9">
        <w:rPr>
          <w:lang w:val="en-GB"/>
        </w:rPr>
        <w:t>s gender from male to female and to change the forename L. to S.</w:t>
      </w:r>
    </w:p>
    <w:p w:rsidRPr="0025590B" w:rsidR="003431D9"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17</w:t>
      </w:r>
      <w:r w:rsidRPr="0025590B">
        <w:rPr>
          <w:lang w:val="en-GB"/>
        </w:rPr>
        <w:fldChar w:fldCharType="end"/>
      </w:r>
      <w:r w:rsidRPr="0025590B">
        <w:rPr>
          <w:lang w:val="en-GB"/>
        </w:rPr>
        <w:t>.  </w:t>
      </w:r>
      <w:r w:rsidRPr="0025590B" w:rsidR="003431D9">
        <w:rPr>
          <w:lang w:val="en-GB"/>
        </w:rPr>
        <w:t>By a judgment of 6 March 2008</w:t>
      </w:r>
      <w:r w:rsidRPr="0025590B" w:rsidR="00DE40C9">
        <w:rPr>
          <w:lang w:val="en-GB"/>
        </w:rPr>
        <w:t>,</w:t>
      </w:r>
      <w:r w:rsidRPr="0025590B" w:rsidR="003431D9">
        <w:rPr>
          <w:lang w:val="en-GB"/>
        </w:rPr>
        <w:t xml:space="preserve"> deposited with the registry on 17</w:t>
      </w:r>
      <w:r w:rsidRPr="0025590B" w:rsidR="00E91685">
        <w:rPr>
          <w:lang w:val="en-GB"/>
        </w:rPr>
        <w:t> </w:t>
      </w:r>
      <w:r w:rsidRPr="0025590B" w:rsidR="003431D9">
        <w:rPr>
          <w:lang w:val="en-GB"/>
        </w:rPr>
        <w:t>May 2008</w:t>
      </w:r>
      <w:r w:rsidRPr="0025590B" w:rsidR="00DE40C9">
        <w:rPr>
          <w:lang w:val="en-GB"/>
        </w:rPr>
        <w:t>,</w:t>
      </w:r>
      <w:r w:rsidRPr="0025590B" w:rsidR="003431D9">
        <w:rPr>
          <w:lang w:val="en-GB"/>
        </w:rPr>
        <w:t xml:space="preserve"> the Regional Administrative Court dismissed the applicant</w:t>
      </w:r>
      <w:r w:rsidRPr="0025590B" w:rsidR="0025590B">
        <w:rPr>
          <w:lang w:val="en-GB"/>
        </w:rPr>
        <w:t>’</w:t>
      </w:r>
      <w:r w:rsidRPr="0025590B" w:rsidR="003431D9">
        <w:rPr>
          <w:lang w:val="en-GB"/>
        </w:rPr>
        <w:t>s appeal against the prefect</w:t>
      </w:r>
      <w:r w:rsidRPr="0025590B" w:rsidR="0025590B">
        <w:rPr>
          <w:lang w:val="en-GB"/>
        </w:rPr>
        <w:t>’</w:t>
      </w:r>
      <w:r w:rsidRPr="0025590B" w:rsidR="003431D9">
        <w:rPr>
          <w:lang w:val="en-GB"/>
        </w:rPr>
        <w:t xml:space="preserve">s decision of 4 July 2001. The court held that Article 89 of Presidential Decree no. 396 of 2000 concerning changes of forename was not applicable in the present case, which actually came within the scope of Law no. 164 of 1982 </w:t>
      </w:r>
      <w:r w:rsidRPr="0025590B" w:rsidR="00930CE9">
        <w:rPr>
          <w:lang w:val="en-GB"/>
        </w:rPr>
        <w:t xml:space="preserve">concerning changes to </w:t>
      </w:r>
      <w:r w:rsidRPr="0025590B" w:rsidR="004A16E5">
        <w:rPr>
          <w:lang w:val="en-GB"/>
        </w:rPr>
        <w:t>legal</w:t>
      </w:r>
      <w:r w:rsidRPr="0025590B" w:rsidR="003431D9">
        <w:rPr>
          <w:lang w:val="en-GB"/>
        </w:rPr>
        <w:t xml:space="preserve"> </w:t>
      </w:r>
      <w:r w:rsidRPr="0025590B" w:rsidR="00242105">
        <w:rPr>
          <w:lang w:val="en-GB"/>
        </w:rPr>
        <w:t xml:space="preserve">gender </w:t>
      </w:r>
      <w:r w:rsidRPr="0025590B" w:rsidR="00930CE9">
        <w:rPr>
          <w:lang w:val="en-GB"/>
        </w:rPr>
        <w:t>status</w:t>
      </w:r>
      <w:r w:rsidRPr="0025590B" w:rsidR="007B53D5">
        <w:rPr>
          <w:lang w:val="en-GB"/>
        </w:rPr>
        <w:t xml:space="preserve">. The court stressed in that regard that, under the terms of the latter, </w:t>
      </w:r>
      <w:r w:rsidRPr="0025590B" w:rsidR="00FA63F2">
        <w:rPr>
          <w:lang w:val="en-GB"/>
        </w:rPr>
        <w:t>the amendment of</w:t>
      </w:r>
      <w:r w:rsidRPr="0025590B" w:rsidR="007B53D5">
        <w:rPr>
          <w:lang w:val="en-GB"/>
        </w:rPr>
        <w:t xml:space="preserve"> the civil</w:t>
      </w:r>
      <w:r w:rsidRPr="0025590B" w:rsidR="002C7EC3">
        <w:rPr>
          <w:lang w:val="en-GB"/>
        </w:rPr>
        <w:t>-</w:t>
      </w:r>
      <w:r w:rsidRPr="0025590B" w:rsidR="007B53D5">
        <w:rPr>
          <w:lang w:val="en-GB"/>
        </w:rPr>
        <w:t xml:space="preserve">status </w:t>
      </w:r>
      <w:r w:rsidRPr="0025590B" w:rsidR="002C7EC3">
        <w:rPr>
          <w:lang w:val="en-GB"/>
        </w:rPr>
        <w:t xml:space="preserve">records </w:t>
      </w:r>
      <w:r w:rsidRPr="0025590B" w:rsidR="007B53D5">
        <w:rPr>
          <w:lang w:val="en-GB"/>
        </w:rPr>
        <w:t xml:space="preserve">of a transgender person had to be ordered by the court ruling on his or her gender </w:t>
      </w:r>
      <w:r w:rsidRPr="0025590B" w:rsidR="00930CE9">
        <w:rPr>
          <w:lang w:val="en-GB"/>
        </w:rPr>
        <w:t>reassignment</w:t>
      </w:r>
      <w:r w:rsidRPr="0025590B" w:rsidR="007B53D5">
        <w:rPr>
          <w:lang w:val="en-GB"/>
        </w:rPr>
        <w:t>. It therefore considered that the prefect had correctly refused the applicant</w:t>
      </w:r>
      <w:r w:rsidRPr="0025590B" w:rsidR="0025590B">
        <w:rPr>
          <w:lang w:val="en-GB"/>
        </w:rPr>
        <w:t>’</w:t>
      </w:r>
      <w:r w:rsidRPr="0025590B" w:rsidR="007B53D5">
        <w:rPr>
          <w:lang w:val="en-GB"/>
        </w:rPr>
        <w:t>s request.</w:t>
      </w:r>
    </w:p>
    <w:p w:rsidRPr="0025590B" w:rsidR="007B53D5" w:rsidP="0025590B" w:rsidRDefault="007B53D5">
      <w:pPr>
        <w:pStyle w:val="ECHRPara"/>
        <w:rPr>
          <w:lang w:val="en-GB"/>
        </w:rPr>
      </w:pPr>
      <w:r w:rsidRPr="0025590B">
        <w:rPr>
          <w:lang w:val="en-GB"/>
        </w:rPr>
        <w:t>The applicant did not appeal against that judgment.</w:t>
      </w:r>
    </w:p>
    <w:p w:rsidRPr="0025590B" w:rsidR="001962A0" w:rsidP="0025590B" w:rsidRDefault="001962A0">
      <w:pPr>
        <w:pStyle w:val="ECHRHeading1"/>
        <w:rPr>
          <w:lang w:val="en-GB"/>
        </w:rPr>
      </w:pPr>
      <w:r w:rsidRPr="0025590B">
        <w:rPr>
          <w:lang w:val="en-GB"/>
        </w:rPr>
        <w:t>II.  RELEVANT DOMESTIC LAW AND PRACTICE</w:t>
      </w:r>
    </w:p>
    <w:p w:rsidRPr="0025590B" w:rsidR="00250864" w:rsidP="0025590B" w:rsidRDefault="00250864">
      <w:pPr>
        <w:pStyle w:val="ECHRHeading2"/>
        <w:rPr>
          <w:lang w:val="en-GB"/>
        </w:rPr>
      </w:pPr>
      <w:r w:rsidRPr="0025590B">
        <w:rPr>
          <w:lang w:val="en-GB"/>
        </w:rPr>
        <w:t>A.  </w:t>
      </w:r>
      <w:r w:rsidRPr="0025590B" w:rsidR="00BD2954">
        <w:rPr>
          <w:lang w:val="en-GB"/>
        </w:rPr>
        <w:t>Law no.</w:t>
      </w:r>
      <w:r w:rsidRPr="0025590B">
        <w:rPr>
          <w:lang w:val="en-GB"/>
        </w:rPr>
        <w:t xml:space="preserve"> 164 </w:t>
      </w:r>
      <w:r w:rsidRPr="0025590B" w:rsidR="00BD2954">
        <w:rPr>
          <w:lang w:val="en-GB"/>
        </w:rPr>
        <w:t>of</w:t>
      </w:r>
      <w:r w:rsidRPr="0025590B">
        <w:rPr>
          <w:lang w:val="en-GB"/>
        </w:rPr>
        <w:t xml:space="preserve"> 1982</w:t>
      </w:r>
    </w:p>
    <w:bookmarkStart w:name="loi164" w:id="2"/>
    <w:p w:rsidRPr="0025590B" w:rsidR="005D0642"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18</w:t>
      </w:r>
      <w:r w:rsidRPr="0025590B">
        <w:rPr>
          <w:lang w:val="en-GB"/>
        </w:rPr>
        <w:fldChar w:fldCharType="end"/>
      </w:r>
      <w:bookmarkEnd w:id="2"/>
      <w:r w:rsidRPr="0025590B">
        <w:rPr>
          <w:lang w:val="en-GB"/>
        </w:rPr>
        <w:t>.  </w:t>
      </w:r>
      <w:r w:rsidRPr="0025590B" w:rsidR="00CD3C19">
        <w:rPr>
          <w:lang w:val="en-GB"/>
        </w:rPr>
        <w:t>Law</w:t>
      </w:r>
      <w:r w:rsidRPr="0025590B" w:rsidR="005D0642">
        <w:rPr>
          <w:lang w:val="en-GB"/>
        </w:rPr>
        <w:t xml:space="preserve"> No. 164 of 1982 </w:t>
      </w:r>
      <w:r w:rsidRPr="0025590B" w:rsidR="00CD3C19">
        <w:rPr>
          <w:lang w:val="en-GB"/>
        </w:rPr>
        <w:t>lays down</w:t>
      </w:r>
      <w:r w:rsidRPr="0025590B" w:rsidR="005D0642">
        <w:rPr>
          <w:lang w:val="en-GB"/>
        </w:rPr>
        <w:t xml:space="preserve"> rules </w:t>
      </w:r>
      <w:r w:rsidRPr="0025590B" w:rsidR="00242105">
        <w:rPr>
          <w:lang w:val="en-GB"/>
        </w:rPr>
        <w:t>on</w:t>
      </w:r>
      <w:r w:rsidRPr="0025590B" w:rsidR="00930CE9">
        <w:rPr>
          <w:lang w:val="en-GB"/>
        </w:rPr>
        <w:t xml:space="preserve"> changes to</w:t>
      </w:r>
      <w:r w:rsidRPr="0025590B" w:rsidR="00242105">
        <w:rPr>
          <w:lang w:val="en-GB"/>
        </w:rPr>
        <w:t xml:space="preserve"> </w:t>
      </w:r>
      <w:r w:rsidRPr="0025590B" w:rsidR="004A16E5">
        <w:rPr>
          <w:lang w:val="en-GB"/>
        </w:rPr>
        <w:t xml:space="preserve">legal </w:t>
      </w:r>
      <w:r w:rsidRPr="0025590B" w:rsidR="00242105">
        <w:rPr>
          <w:lang w:val="en-GB"/>
        </w:rPr>
        <w:t xml:space="preserve">gender </w:t>
      </w:r>
      <w:r w:rsidRPr="0025590B" w:rsidR="00930CE9">
        <w:rPr>
          <w:lang w:val="en-GB"/>
        </w:rPr>
        <w:t xml:space="preserve">status </w:t>
      </w:r>
      <w:r w:rsidRPr="0025590B" w:rsidR="005D0642">
        <w:rPr>
          <w:lang w:val="en-GB"/>
        </w:rPr>
        <w:t>(</w:t>
      </w:r>
      <w:r w:rsidRPr="0025590B" w:rsidR="005D0642">
        <w:rPr>
          <w:i/>
          <w:lang w:val="en-GB"/>
        </w:rPr>
        <w:t>rettificazione di attribuzione di sesso</w:t>
      </w:r>
      <w:r w:rsidRPr="0025590B" w:rsidR="005D0642">
        <w:rPr>
          <w:lang w:val="en-GB"/>
        </w:rPr>
        <w:t xml:space="preserve">). </w:t>
      </w:r>
      <w:r w:rsidRPr="0025590B" w:rsidR="00CD3C19">
        <w:rPr>
          <w:lang w:val="en-GB"/>
        </w:rPr>
        <w:t>Under that L</w:t>
      </w:r>
      <w:r w:rsidRPr="0025590B" w:rsidR="005D0642">
        <w:rPr>
          <w:lang w:val="en-GB"/>
        </w:rPr>
        <w:t xml:space="preserve">aw as in force at the </w:t>
      </w:r>
      <w:r w:rsidRPr="0025590B" w:rsidR="00CD3C19">
        <w:rPr>
          <w:lang w:val="en-GB"/>
        </w:rPr>
        <w:t xml:space="preserve">material </w:t>
      </w:r>
      <w:r w:rsidRPr="0025590B" w:rsidR="005D0642">
        <w:rPr>
          <w:lang w:val="en-GB"/>
        </w:rPr>
        <w:t>ti</w:t>
      </w:r>
      <w:r w:rsidRPr="0025590B" w:rsidR="00CD3C19">
        <w:rPr>
          <w:lang w:val="en-GB"/>
        </w:rPr>
        <w:t>me</w:t>
      </w:r>
      <w:r w:rsidRPr="0025590B" w:rsidR="005D0642">
        <w:rPr>
          <w:lang w:val="en-GB"/>
        </w:rPr>
        <w:t xml:space="preserve">, </w:t>
      </w:r>
      <w:r w:rsidRPr="0025590B" w:rsidR="00242105">
        <w:rPr>
          <w:lang w:val="en-GB"/>
        </w:rPr>
        <w:t>a person</w:t>
      </w:r>
      <w:r w:rsidRPr="0025590B" w:rsidR="0025590B">
        <w:rPr>
          <w:lang w:val="en-GB"/>
        </w:rPr>
        <w:t>’</w:t>
      </w:r>
      <w:r w:rsidRPr="0025590B" w:rsidR="00242105">
        <w:rPr>
          <w:lang w:val="en-GB"/>
        </w:rPr>
        <w:t xml:space="preserve">s legal </w:t>
      </w:r>
      <w:r w:rsidRPr="0025590B" w:rsidR="005D0642">
        <w:rPr>
          <w:lang w:val="en-GB"/>
        </w:rPr>
        <w:t xml:space="preserve">gender </w:t>
      </w:r>
      <w:r w:rsidRPr="0025590B" w:rsidR="00930CE9">
        <w:rPr>
          <w:lang w:val="en-GB"/>
        </w:rPr>
        <w:t xml:space="preserve">status </w:t>
      </w:r>
      <w:r w:rsidRPr="0025590B" w:rsidR="00637F7A">
        <w:rPr>
          <w:lang w:val="en-GB"/>
        </w:rPr>
        <w:t>could be</w:t>
      </w:r>
      <w:r w:rsidRPr="0025590B" w:rsidR="005D0642">
        <w:rPr>
          <w:lang w:val="en-GB"/>
        </w:rPr>
        <w:t xml:space="preserve"> </w:t>
      </w:r>
      <w:r w:rsidRPr="0025590B" w:rsidR="00242105">
        <w:rPr>
          <w:lang w:val="en-GB"/>
        </w:rPr>
        <w:t xml:space="preserve">changed </w:t>
      </w:r>
      <w:r w:rsidRPr="0025590B" w:rsidR="005D0642">
        <w:rPr>
          <w:lang w:val="en-GB"/>
        </w:rPr>
        <w:t xml:space="preserve">on the basis of a final judgment of the court </w:t>
      </w:r>
      <w:r w:rsidRPr="0025590B" w:rsidR="006164A3">
        <w:rPr>
          <w:lang w:val="en-GB"/>
        </w:rPr>
        <w:t xml:space="preserve">recognising </w:t>
      </w:r>
      <w:r w:rsidRPr="0025590B" w:rsidR="005D0642">
        <w:rPr>
          <w:lang w:val="en-GB"/>
        </w:rPr>
        <w:t xml:space="preserve">a </w:t>
      </w:r>
      <w:r w:rsidRPr="0025590B" w:rsidR="006164A3">
        <w:rPr>
          <w:lang w:val="en-GB"/>
        </w:rPr>
        <w:t xml:space="preserve">change of </w:t>
      </w:r>
      <w:r w:rsidRPr="0025590B" w:rsidR="005D0642">
        <w:rPr>
          <w:lang w:val="en-GB"/>
        </w:rPr>
        <w:t xml:space="preserve">gender from </w:t>
      </w:r>
      <w:r w:rsidRPr="0025590B" w:rsidR="00242105">
        <w:rPr>
          <w:lang w:val="en-GB"/>
        </w:rPr>
        <w:t>that</w:t>
      </w:r>
      <w:r w:rsidRPr="0025590B" w:rsidR="005D0642">
        <w:rPr>
          <w:lang w:val="en-GB"/>
        </w:rPr>
        <w:t xml:space="preserve"> indicated in </w:t>
      </w:r>
      <w:r w:rsidRPr="0025590B" w:rsidR="00242105">
        <w:rPr>
          <w:lang w:val="en-GB"/>
        </w:rPr>
        <w:t>the person</w:t>
      </w:r>
      <w:r w:rsidRPr="0025590B" w:rsidR="0025590B">
        <w:rPr>
          <w:lang w:val="en-GB"/>
        </w:rPr>
        <w:t>’</w:t>
      </w:r>
      <w:r w:rsidRPr="0025590B" w:rsidR="00242105">
        <w:rPr>
          <w:lang w:val="en-GB"/>
        </w:rPr>
        <w:t>s</w:t>
      </w:r>
      <w:r w:rsidRPr="0025590B" w:rsidR="005D0642">
        <w:rPr>
          <w:lang w:val="en-GB"/>
        </w:rPr>
        <w:t xml:space="preserve"> birth certificate, following the </w:t>
      </w:r>
      <w:r w:rsidRPr="0025590B" w:rsidR="00CD3C19">
        <w:rPr>
          <w:lang w:val="en-GB"/>
        </w:rPr>
        <w:t>alteration</w:t>
      </w:r>
      <w:r w:rsidRPr="0025590B" w:rsidR="005D0642">
        <w:rPr>
          <w:lang w:val="en-GB"/>
        </w:rPr>
        <w:t xml:space="preserve"> of </w:t>
      </w:r>
      <w:r w:rsidRPr="0025590B" w:rsidR="00242105">
        <w:rPr>
          <w:lang w:val="en-GB"/>
        </w:rPr>
        <w:t>his or her</w:t>
      </w:r>
      <w:r w:rsidRPr="0025590B" w:rsidR="00CD3C19">
        <w:rPr>
          <w:lang w:val="en-GB"/>
        </w:rPr>
        <w:t xml:space="preserve"> </w:t>
      </w:r>
      <w:r w:rsidRPr="0025590B" w:rsidR="005D0642">
        <w:rPr>
          <w:lang w:val="en-GB"/>
        </w:rPr>
        <w:t>sexual characteristics (</w:t>
      </w:r>
      <w:r w:rsidRPr="0025590B" w:rsidR="00CD3C19">
        <w:rPr>
          <w:lang w:val="en-GB"/>
        </w:rPr>
        <w:t>section</w:t>
      </w:r>
      <w:r w:rsidRPr="0025590B" w:rsidR="005D0642">
        <w:rPr>
          <w:lang w:val="en-GB"/>
        </w:rPr>
        <w:t xml:space="preserve"> 1). If necessary, the court </w:t>
      </w:r>
      <w:r w:rsidRPr="0025590B" w:rsidR="00CD3C19">
        <w:rPr>
          <w:lang w:val="en-GB"/>
        </w:rPr>
        <w:t>could</w:t>
      </w:r>
      <w:r w:rsidRPr="0025590B" w:rsidR="005D0642">
        <w:rPr>
          <w:lang w:val="en-GB"/>
        </w:rPr>
        <w:t xml:space="preserve"> order an expert opinion to </w:t>
      </w:r>
      <w:r w:rsidRPr="0025590B" w:rsidR="0080722B">
        <w:rPr>
          <w:lang w:val="en-GB"/>
        </w:rPr>
        <w:t>assess</w:t>
      </w:r>
      <w:r w:rsidRPr="0025590B" w:rsidR="005D0642">
        <w:rPr>
          <w:lang w:val="en-GB"/>
        </w:rPr>
        <w:t xml:space="preserve"> the</w:t>
      </w:r>
      <w:r w:rsidRPr="0025590B" w:rsidR="00CD3C19">
        <w:rPr>
          <w:lang w:val="en-GB"/>
        </w:rPr>
        <w:t xml:space="preserve"> </w:t>
      </w:r>
      <w:r w:rsidRPr="0025590B" w:rsidR="005D0642">
        <w:rPr>
          <w:lang w:val="en-GB"/>
        </w:rPr>
        <w:t xml:space="preserve">physical and psychological </w:t>
      </w:r>
      <w:r w:rsidRPr="0025590B" w:rsidR="00CD3C19">
        <w:rPr>
          <w:lang w:val="en-GB"/>
        </w:rPr>
        <w:t>state</w:t>
      </w:r>
      <w:r w:rsidRPr="0025590B" w:rsidR="005D0642">
        <w:rPr>
          <w:lang w:val="en-GB"/>
        </w:rPr>
        <w:t xml:space="preserve"> of the </w:t>
      </w:r>
      <w:r w:rsidRPr="0025590B" w:rsidR="00CD3C19">
        <w:rPr>
          <w:lang w:val="en-GB"/>
        </w:rPr>
        <w:t xml:space="preserve">person </w:t>
      </w:r>
      <w:r w:rsidRPr="0025590B" w:rsidR="0080722B">
        <w:rPr>
          <w:lang w:val="en-GB"/>
        </w:rPr>
        <w:t xml:space="preserve">making the </w:t>
      </w:r>
      <w:r w:rsidRPr="0025590B" w:rsidR="004A16E5">
        <w:rPr>
          <w:lang w:val="en-GB"/>
        </w:rPr>
        <w:t>request</w:t>
      </w:r>
      <w:r w:rsidRPr="0025590B" w:rsidR="005D0642">
        <w:rPr>
          <w:lang w:val="en-GB"/>
        </w:rPr>
        <w:t xml:space="preserve">. </w:t>
      </w:r>
      <w:r w:rsidRPr="0025590B" w:rsidR="00CD3C19">
        <w:rPr>
          <w:lang w:val="en-GB"/>
        </w:rPr>
        <w:t>In</w:t>
      </w:r>
      <w:r w:rsidRPr="0025590B" w:rsidR="005D0642">
        <w:rPr>
          <w:lang w:val="en-GB"/>
        </w:rPr>
        <w:t xml:space="preserve"> the j</w:t>
      </w:r>
      <w:r w:rsidRPr="0025590B" w:rsidR="00242105">
        <w:rPr>
          <w:lang w:val="en-GB"/>
        </w:rPr>
        <w:t>udgment granting the request</w:t>
      </w:r>
      <w:r w:rsidRPr="0025590B" w:rsidR="005D0642">
        <w:rPr>
          <w:lang w:val="en-GB"/>
        </w:rPr>
        <w:t>, the court order</w:t>
      </w:r>
      <w:r w:rsidRPr="0025590B" w:rsidR="00CD3C19">
        <w:rPr>
          <w:lang w:val="en-GB"/>
        </w:rPr>
        <w:t>ed</w:t>
      </w:r>
      <w:r w:rsidRPr="0025590B" w:rsidR="005D0642">
        <w:rPr>
          <w:lang w:val="en-GB"/>
        </w:rPr>
        <w:t xml:space="preserve"> the municipality with which the birth certificate was registered to amend the civil</w:t>
      </w:r>
      <w:r w:rsidRPr="0025590B" w:rsidR="00CD3C19">
        <w:rPr>
          <w:lang w:val="en-GB"/>
        </w:rPr>
        <w:t>-</w:t>
      </w:r>
      <w:r w:rsidRPr="0025590B" w:rsidR="005D0642">
        <w:rPr>
          <w:lang w:val="en-GB"/>
        </w:rPr>
        <w:t>status register (</w:t>
      </w:r>
      <w:r w:rsidRPr="0025590B" w:rsidR="00CD3C19">
        <w:rPr>
          <w:lang w:val="en-GB"/>
        </w:rPr>
        <w:t>section</w:t>
      </w:r>
      <w:r w:rsidRPr="0025590B" w:rsidR="005D0642">
        <w:rPr>
          <w:lang w:val="en-GB"/>
        </w:rPr>
        <w:t xml:space="preserve"> 2).</w:t>
      </w:r>
    </w:p>
    <w:bookmarkStart w:name="loi164par3" w:id="3"/>
    <w:p w:rsidRPr="0025590B" w:rsidR="00250864"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19</w:t>
      </w:r>
      <w:r w:rsidRPr="0025590B">
        <w:rPr>
          <w:lang w:val="en-GB"/>
        </w:rPr>
        <w:fldChar w:fldCharType="end"/>
      </w:r>
      <w:bookmarkEnd w:id="3"/>
      <w:r w:rsidRPr="0025590B">
        <w:rPr>
          <w:lang w:val="en-GB"/>
        </w:rPr>
        <w:t>.  </w:t>
      </w:r>
      <w:r w:rsidRPr="0025590B" w:rsidR="00CD3C19">
        <w:rPr>
          <w:lang w:val="en-GB"/>
        </w:rPr>
        <w:t>Section 3 of the Law provided as follows</w:t>
      </w:r>
      <w:r w:rsidRPr="0025590B">
        <w:rPr>
          <w:lang w:val="en-GB"/>
        </w:rPr>
        <w:t>:</w:t>
      </w:r>
    </w:p>
    <w:p w:rsidRPr="0025590B" w:rsidR="00482E31" w:rsidP="0025590B" w:rsidRDefault="00482E31">
      <w:pPr>
        <w:pStyle w:val="ECHRParaQuote"/>
        <w:rPr>
          <w:lang w:val="en-GB"/>
        </w:rPr>
      </w:pPr>
      <w:r w:rsidRPr="0025590B">
        <w:rPr>
          <w:lang w:val="en-GB"/>
        </w:rPr>
        <w:t xml:space="preserve">“Where it is necessary to </w:t>
      </w:r>
      <w:r w:rsidRPr="0025590B" w:rsidR="005F02E7">
        <w:rPr>
          <w:lang w:val="en-GB"/>
        </w:rPr>
        <w:t>adapt the person</w:t>
      </w:r>
      <w:r w:rsidRPr="0025590B" w:rsidR="0025590B">
        <w:rPr>
          <w:lang w:val="en-GB"/>
        </w:rPr>
        <w:t>’</w:t>
      </w:r>
      <w:r w:rsidRPr="0025590B" w:rsidR="005F02E7">
        <w:rPr>
          <w:lang w:val="en-GB"/>
        </w:rPr>
        <w:t xml:space="preserve">s sexual characteristics by means of </w:t>
      </w:r>
      <w:r w:rsidRPr="0025590B">
        <w:rPr>
          <w:lang w:val="en-GB"/>
        </w:rPr>
        <w:t xml:space="preserve">medical or surgical treatment, the court shall deliver a judgment authorising </w:t>
      </w:r>
      <w:r w:rsidRPr="0025590B" w:rsidR="005F02E7">
        <w:rPr>
          <w:lang w:val="en-GB"/>
        </w:rPr>
        <w:t>such treatment</w:t>
      </w:r>
      <w:r w:rsidRPr="0025590B">
        <w:rPr>
          <w:lang w:val="en-GB"/>
        </w:rPr>
        <w:t xml:space="preserve">. In such cases the court, [sitting] in private, shall </w:t>
      </w:r>
      <w:r w:rsidRPr="0025590B" w:rsidR="00930CE9">
        <w:rPr>
          <w:lang w:val="en-GB"/>
        </w:rPr>
        <w:t xml:space="preserve">order the change of </w:t>
      </w:r>
      <w:r w:rsidRPr="0025590B" w:rsidR="00242105">
        <w:rPr>
          <w:lang w:val="en-GB"/>
        </w:rPr>
        <w:t>legal</w:t>
      </w:r>
      <w:r w:rsidRPr="0025590B">
        <w:rPr>
          <w:lang w:val="en-GB"/>
        </w:rPr>
        <w:t xml:space="preserve"> gender </w:t>
      </w:r>
      <w:r w:rsidRPr="0025590B" w:rsidR="00930CE9">
        <w:rPr>
          <w:lang w:val="en-GB"/>
        </w:rPr>
        <w:t xml:space="preserve">status </w:t>
      </w:r>
      <w:r w:rsidRPr="0025590B">
        <w:rPr>
          <w:lang w:val="en-GB"/>
        </w:rPr>
        <w:t>after verifying that the treatment has been carried out.”</w:t>
      </w:r>
    </w:p>
    <w:bookmarkStart w:name="décret150de2011" w:id="4"/>
    <w:p w:rsidRPr="0025590B" w:rsidR="00482E31"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20</w:t>
      </w:r>
      <w:r w:rsidRPr="0025590B">
        <w:rPr>
          <w:lang w:val="en-GB"/>
        </w:rPr>
        <w:fldChar w:fldCharType="end"/>
      </w:r>
      <w:bookmarkEnd w:id="4"/>
      <w:r w:rsidRPr="0025590B">
        <w:rPr>
          <w:lang w:val="en-GB"/>
        </w:rPr>
        <w:t>.  </w:t>
      </w:r>
      <w:r w:rsidRPr="0025590B" w:rsidR="00482E31">
        <w:rPr>
          <w:lang w:val="en-GB"/>
        </w:rPr>
        <w:t xml:space="preserve">Section 3 was subsequently amended by Article 31 </w:t>
      </w:r>
      <w:r w:rsidRPr="0025590B" w:rsidR="000D53E0">
        <w:rPr>
          <w:lang w:val="en-GB"/>
        </w:rPr>
        <w:t xml:space="preserve">§ </w:t>
      </w:r>
      <w:r w:rsidRPr="0025590B" w:rsidR="00482E31">
        <w:rPr>
          <w:lang w:val="en-GB"/>
        </w:rPr>
        <w:t xml:space="preserve">4 of Legislative Decree no. 150 of 2011. A second decision given in private is now no longer required in order </w:t>
      </w:r>
      <w:r w:rsidRPr="0025590B" w:rsidR="00242105">
        <w:rPr>
          <w:lang w:val="en-GB"/>
        </w:rPr>
        <w:t>to obtain a change of legal gender</w:t>
      </w:r>
      <w:r w:rsidRPr="0025590B" w:rsidR="00930CE9">
        <w:rPr>
          <w:lang w:val="en-GB"/>
        </w:rPr>
        <w:t xml:space="preserve"> status</w:t>
      </w:r>
      <w:r w:rsidRPr="0025590B" w:rsidR="00482E31">
        <w:rPr>
          <w:lang w:val="en-GB"/>
        </w:rPr>
        <w:t>.</w:t>
      </w:r>
    </w:p>
    <w:p w:rsidRPr="0025590B" w:rsidR="00250864" w:rsidP="0025590B" w:rsidRDefault="00482E31">
      <w:pPr>
        <w:pStyle w:val="ECHRPara"/>
        <w:rPr>
          <w:lang w:val="en-GB"/>
        </w:rPr>
      </w:pPr>
      <w:r w:rsidRPr="0025590B">
        <w:rPr>
          <w:lang w:val="en-GB"/>
        </w:rPr>
        <w:t>A</w:t>
      </w:r>
      <w:r w:rsidRPr="0025590B" w:rsidR="00250864">
        <w:rPr>
          <w:lang w:val="en-GB"/>
        </w:rPr>
        <w:t>rticle 31</w:t>
      </w:r>
      <w:r w:rsidRPr="0025590B">
        <w:rPr>
          <w:lang w:val="en-GB"/>
        </w:rPr>
        <w:t xml:space="preserve"> </w:t>
      </w:r>
      <w:r w:rsidRPr="0025590B" w:rsidR="000D53E0">
        <w:rPr>
          <w:lang w:val="en-GB"/>
        </w:rPr>
        <w:t xml:space="preserve">§ </w:t>
      </w:r>
      <w:r w:rsidRPr="0025590B">
        <w:rPr>
          <w:lang w:val="en-GB"/>
        </w:rPr>
        <w:t>4 reads as follows</w:t>
      </w:r>
      <w:r w:rsidRPr="0025590B" w:rsidR="00250864">
        <w:rPr>
          <w:lang w:val="en-GB"/>
        </w:rPr>
        <w:t>:</w:t>
      </w:r>
    </w:p>
    <w:p w:rsidRPr="0025590B" w:rsidR="00250864" w:rsidP="0025590B" w:rsidRDefault="005F02E7">
      <w:pPr>
        <w:pStyle w:val="ECHRParaQuote"/>
        <w:rPr>
          <w:lang w:val="en-GB"/>
        </w:rPr>
      </w:pPr>
      <w:r w:rsidRPr="0025590B">
        <w:rPr>
          <w:lang w:val="en-GB"/>
        </w:rPr>
        <w:t>“</w:t>
      </w:r>
      <w:r w:rsidRPr="0025590B" w:rsidR="00482E31">
        <w:rPr>
          <w:lang w:val="en-GB"/>
        </w:rPr>
        <w:t xml:space="preserve">Where </w:t>
      </w:r>
      <w:r w:rsidRPr="0025590B">
        <w:rPr>
          <w:lang w:val="en-GB"/>
        </w:rPr>
        <w:t>it is necessary to adapt the person</w:t>
      </w:r>
      <w:r w:rsidRPr="0025590B" w:rsidR="0025590B">
        <w:rPr>
          <w:lang w:val="en-GB"/>
        </w:rPr>
        <w:t>’</w:t>
      </w:r>
      <w:r w:rsidRPr="0025590B">
        <w:rPr>
          <w:lang w:val="en-GB"/>
        </w:rPr>
        <w:t>s sexual characteristics by means of medical or surgical treatment, the court shall deliver a judgment authorising such treatment.”</w:t>
      </w:r>
    </w:p>
    <w:p w:rsidRPr="0025590B" w:rsidR="006E7201" w:rsidP="0025590B" w:rsidRDefault="00250864">
      <w:pPr>
        <w:pStyle w:val="ECHRHeading2"/>
        <w:rPr>
          <w:lang w:val="en-GB"/>
        </w:rPr>
      </w:pPr>
      <w:r w:rsidRPr="0025590B">
        <w:rPr>
          <w:lang w:val="en-GB"/>
        </w:rPr>
        <w:t>B.  </w:t>
      </w:r>
      <w:r w:rsidRPr="0025590B" w:rsidR="006E7201">
        <w:rPr>
          <w:lang w:val="en-GB"/>
        </w:rPr>
        <w:t>Presidential Decree no. 396 of 2000 and Royal Decree no. 1238 of 1939</w:t>
      </w:r>
    </w:p>
    <w:p w:rsidRPr="0025590B" w:rsidR="006E7201"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21</w:t>
      </w:r>
      <w:r w:rsidRPr="0025590B">
        <w:rPr>
          <w:lang w:val="en-GB"/>
        </w:rPr>
        <w:fldChar w:fldCharType="end"/>
      </w:r>
      <w:r w:rsidRPr="0025590B">
        <w:rPr>
          <w:lang w:val="en-GB"/>
        </w:rPr>
        <w:t>.  </w:t>
      </w:r>
      <w:r w:rsidRPr="0025590B" w:rsidR="006E7201">
        <w:rPr>
          <w:lang w:val="en-GB"/>
        </w:rPr>
        <w:t xml:space="preserve">Under Article 35 of Presidential Decree No. 396 of 3 November 2000, the forename </w:t>
      </w:r>
      <w:r w:rsidRPr="0025590B" w:rsidR="00D34B67">
        <w:rPr>
          <w:lang w:val="en-GB"/>
        </w:rPr>
        <w:t>given</w:t>
      </w:r>
      <w:r w:rsidRPr="0025590B" w:rsidR="006E7201">
        <w:rPr>
          <w:lang w:val="en-GB"/>
        </w:rPr>
        <w:t xml:space="preserve"> to a child must correspond to the child</w:t>
      </w:r>
      <w:r w:rsidRPr="0025590B" w:rsidR="0025590B">
        <w:rPr>
          <w:lang w:val="en-GB"/>
        </w:rPr>
        <w:t>’</w:t>
      </w:r>
      <w:r w:rsidRPr="0025590B" w:rsidR="006E7201">
        <w:rPr>
          <w:lang w:val="en-GB"/>
        </w:rPr>
        <w:t xml:space="preserve">s gender. According to Article 89 of the same decree, without prejudice to the provisions applicable to the </w:t>
      </w:r>
      <w:r w:rsidRPr="0025590B" w:rsidR="00CD2C33">
        <w:rPr>
          <w:lang w:val="en-GB"/>
        </w:rPr>
        <w:t>correction</w:t>
      </w:r>
      <w:r w:rsidRPr="0025590B" w:rsidR="006E7201">
        <w:rPr>
          <w:lang w:val="en-GB"/>
        </w:rPr>
        <w:t xml:space="preserve"> of the civil-status </w:t>
      </w:r>
      <w:r w:rsidRPr="0025590B" w:rsidR="00CD2C33">
        <w:rPr>
          <w:lang w:val="en-GB"/>
        </w:rPr>
        <w:t>records</w:t>
      </w:r>
      <w:r w:rsidRPr="0025590B" w:rsidR="006E7201">
        <w:rPr>
          <w:lang w:val="en-GB"/>
        </w:rPr>
        <w:t xml:space="preserve">, persons seeking to change their </w:t>
      </w:r>
      <w:r w:rsidRPr="0025590B" w:rsidR="008E49AA">
        <w:rPr>
          <w:lang w:val="en-GB"/>
        </w:rPr>
        <w:t>fore</w:t>
      </w:r>
      <w:r w:rsidRPr="0025590B" w:rsidR="006E7201">
        <w:rPr>
          <w:lang w:val="en-GB"/>
        </w:rPr>
        <w:t xml:space="preserve">name or to add another </w:t>
      </w:r>
      <w:r w:rsidRPr="0025590B" w:rsidR="008E49AA">
        <w:rPr>
          <w:lang w:val="en-GB"/>
        </w:rPr>
        <w:t>fore</w:t>
      </w:r>
      <w:r w:rsidRPr="0025590B" w:rsidR="006E7201">
        <w:rPr>
          <w:lang w:val="en-GB"/>
        </w:rPr>
        <w:t xml:space="preserve">name to the existing one, or to change their </w:t>
      </w:r>
      <w:r w:rsidRPr="0025590B" w:rsidR="008E49AA">
        <w:rPr>
          <w:lang w:val="en-GB"/>
        </w:rPr>
        <w:t>sur</w:t>
      </w:r>
      <w:r w:rsidRPr="0025590B" w:rsidR="0080722B">
        <w:rPr>
          <w:lang w:val="en-GB"/>
        </w:rPr>
        <w:t>name</w:t>
      </w:r>
      <w:r w:rsidRPr="0025590B" w:rsidR="006E7201">
        <w:rPr>
          <w:lang w:val="en-GB"/>
        </w:rPr>
        <w:t xml:space="preserve"> because of its shameful or ridiculous nature or because it reveals their biological descent, must submit a request</w:t>
      </w:r>
      <w:r w:rsidRPr="0025590B" w:rsidR="008E49AA">
        <w:rPr>
          <w:lang w:val="en-GB"/>
        </w:rPr>
        <w:t>, giving reasons,</w:t>
      </w:r>
      <w:r w:rsidRPr="0025590B" w:rsidR="006E7201">
        <w:rPr>
          <w:lang w:val="en-GB"/>
        </w:rPr>
        <w:t xml:space="preserve"> to the competent prefect.</w:t>
      </w:r>
    </w:p>
    <w:p w:rsidRPr="0025590B" w:rsidR="006E7201" w:rsidP="0025590B" w:rsidRDefault="008E49AA">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22</w:t>
      </w:r>
      <w:r w:rsidRPr="0025590B">
        <w:rPr>
          <w:lang w:val="en-GB"/>
        </w:rPr>
        <w:fldChar w:fldCharType="end"/>
      </w:r>
      <w:r w:rsidRPr="0025590B">
        <w:rPr>
          <w:lang w:val="en-GB"/>
        </w:rPr>
        <w:t>.  Prior to</w:t>
      </w:r>
      <w:r w:rsidRPr="0025590B" w:rsidR="006E7201">
        <w:rPr>
          <w:lang w:val="en-GB"/>
        </w:rPr>
        <w:t xml:space="preserve"> the entry into force of </w:t>
      </w:r>
      <w:r w:rsidRPr="0025590B">
        <w:rPr>
          <w:lang w:val="en-GB"/>
        </w:rPr>
        <w:t>Presidential Decree</w:t>
      </w:r>
      <w:r w:rsidRPr="0025590B" w:rsidR="006E7201">
        <w:rPr>
          <w:lang w:val="en-GB"/>
        </w:rPr>
        <w:t xml:space="preserve"> No. 396, </w:t>
      </w:r>
      <w:r w:rsidRPr="0025590B">
        <w:rPr>
          <w:lang w:val="en-GB"/>
        </w:rPr>
        <w:t>responsibility for</w:t>
      </w:r>
      <w:r w:rsidRPr="0025590B" w:rsidR="006E7201">
        <w:rPr>
          <w:lang w:val="en-GB"/>
        </w:rPr>
        <w:t xml:space="preserve"> </w:t>
      </w:r>
      <w:r w:rsidRPr="0025590B" w:rsidR="00D34B67">
        <w:rPr>
          <w:lang w:val="en-GB"/>
        </w:rPr>
        <w:t>dealing with</w:t>
      </w:r>
      <w:r w:rsidRPr="0025590B" w:rsidR="006E7201">
        <w:rPr>
          <w:lang w:val="en-GB"/>
        </w:rPr>
        <w:t xml:space="preserve"> applications for a change of surname or first name, governed </w:t>
      </w:r>
      <w:r w:rsidRPr="0025590B">
        <w:rPr>
          <w:lang w:val="en-GB"/>
        </w:rPr>
        <w:t xml:space="preserve">at that time </w:t>
      </w:r>
      <w:r w:rsidRPr="0025590B" w:rsidR="006E7201">
        <w:rPr>
          <w:lang w:val="en-GB"/>
        </w:rPr>
        <w:t xml:space="preserve">by </w:t>
      </w:r>
      <w:r w:rsidRPr="0025590B">
        <w:rPr>
          <w:lang w:val="en-GB"/>
        </w:rPr>
        <w:t>A</w:t>
      </w:r>
      <w:r w:rsidRPr="0025590B" w:rsidR="006E7201">
        <w:rPr>
          <w:lang w:val="en-GB"/>
        </w:rPr>
        <w:t xml:space="preserve">rticles 158 et seq. of Royal Decree </w:t>
      </w:r>
      <w:r w:rsidRPr="0025590B">
        <w:rPr>
          <w:lang w:val="en-GB"/>
        </w:rPr>
        <w:t>n</w:t>
      </w:r>
      <w:r w:rsidRPr="0025590B" w:rsidR="006E7201">
        <w:rPr>
          <w:lang w:val="en-GB"/>
        </w:rPr>
        <w:t xml:space="preserve">o. 1238 of 1939, </w:t>
      </w:r>
      <w:r w:rsidRPr="0025590B" w:rsidR="0080722B">
        <w:rPr>
          <w:lang w:val="en-GB"/>
        </w:rPr>
        <w:t>lay with</w:t>
      </w:r>
      <w:r w:rsidRPr="0025590B" w:rsidR="006E7201">
        <w:rPr>
          <w:lang w:val="en-GB"/>
        </w:rPr>
        <w:t xml:space="preserve"> the public prosecutor.</w:t>
      </w:r>
    </w:p>
    <w:p w:rsidRPr="0025590B" w:rsidR="006E7201" w:rsidP="0025590B" w:rsidRDefault="008E49AA">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23</w:t>
      </w:r>
      <w:r w:rsidRPr="0025590B">
        <w:rPr>
          <w:lang w:val="en-GB"/>
        </w:rPr>
        <w:fldChar w:fldCharType="end"/>
      </w:r>
      <w:r w:rsidRPr="0025590B">
        <w:rPr>
          <w:lang w:val="en-GB"/>
        </w:rPr>
        <w:t>.  </w:t>
      </w:r>
      <w:r w:rsidRPr="0025590B" w:rsidR="006E7201">
        <w:rPr>
          <w:lang w:val="en-GB"/>
        </w:rPr>
        <w:t xml:space="preserve">By </w:t>
      </w:r>
      <w:r w:rsidRPr="0025590B" w:rsidR="00261D1A">
        <w:rPr>
          <w:lang w:val="en-GB"/>
        </w:rPr>
        <w:t>d</w:t>
      </w:r>
      <w:r w:rsidRPr="0025590B" w:rsidR="006E7201">
        <w:rPr>
          <w:lang w:val="en-GB"/>
        </w:rPr>
        <w:t xml:space="preserve">ecision </w:t>
      </w:r>
      <w:r w:rsidRPr="0025590B" w:rsidR="00261D1A">
        <w:rPr>
          <w:lang w:val="en-GB"/>
        </w:rPr>
        <w:t>n</w:t>
      </w:r>
      <w:r w:rsidRPr="0025590B" w:rsidR="006E7201">
        <w:rPr>
          <w:lang w:val="en-GB"/>
        </w:rPr>
        <w:t>o</w:t>
      </w:r>
      <w:r w:rsidRPr="0025590B" w:rsidR="00261D1A">
        <w:rPr>
          <w:lang w:val="en-GB"/>
        </w:rPr>
        <w:t>.</w:t>
      </w:r>
      <w:r w:rsidRPr="0025590B" w:rsidR="006E7201">
        <w:rPr>
          <w:lang w:val="en-GB"/>
        </w:rPr>
        <w:t xml:space="preserve"> 18 of 12 April 1999, the </w:t>
      </w:r>
      <w:r w:rsidRPr="0025590B">
        <w:rPr>
          <w:lang w:val="en-GB"/>
        </w:rPr>
        <w:t>public prosecutor at</w:t>
      </w:r>
      <w:r w:rsidRPr="0025590B" w:rsidR="006E7201">
        <w:rPr>
          <w:lang w:val="en-GB"/>
        </w:rPr>
        <w:t xml:space="preserve"> the Rome Court of Appeal granted </w:t>
      </w:r>
      <w:r w:rsidRPr="0025590B">
        <w:rPr>
          <w:lang w:val="en-GB"/>
        </w:rPr>
        <w:t>a</w:t>
      </w:r>
      <w:r w:rsidRPr="0025590B" w:rsidR="006E7201">
        <w:rPr>
          <w:lang w:val="en-GB"/>
        </w:rPr>
        <w:t xml:space="preserve"> request for a change of name made by</w:t>
      </w:r>
      <w:r w:rsidRPr="0025590B">
        <w:rPr>
          <w:lang w:val="en-GB"/>
        </w:rPr>
        <w:t xml:space="preserve"> M.U., </w:t>
      </w:r>
      <w:r w:rsidRPr="0025590B" w:rsidR="006E7201">
        <w:rPr>
          <w:lang w:val="en-GB"/>
        </w:rPr>
        <w:t>a</w:t>
      </w:r>
      <w:r w:rsidRPr="0025590B">
        <w:rPr>
          <w:lang w:val="en-GB"/>
        </w:rPr>
        <w:t xml:space="preserve"> transgender person who had not undergone surgery</w:t>
      </w:r>
      <w:r w:rsidRPr="0025590B" w:rsidR="00D34B67">
        <w:rPr>
          <w:lang w:val="en-GB"/>
        </w:rPr>
        <w:t>,</w:t>
      </w:r>
      <w:r w:rsidRPr="0025590B" w:rsidR="006E7201">
        <w:rPr>
          <w:lang w:val="en-GB"/>
        </w:rPr>
        <w:t xml:space="preserve"> </w:t>
      </w:r>
      <w:r w:rsidRPr="0025590B" w:rsidR="00D34B67">
        <w:rPr>
          <w:lang w:val="en-GB"/>
        </w:rPr>
        <w:t xml:space="preserve">under </w:t>
      </w:r>
      <w:r w:rsidRPr="0025590B" w:rsidR="006E7201">
        <w:rPr>
          <w:lang w:val="en-GB"/>
        </w:rPr>
        <w:t xml:space="preserve">Article 158 of Royal Decree </w:t>
      </w:r>
      <w:r w:rsidRPr="0025590B">
        <w:rPr>
          <w:lang w:val="en-GB"/>
        </w:rPr>
        <w:t>n</w:t>
      </w:r>
      <w:r w:rsidRPr="0025590B" w:rsidR="006E7201">
        <w:rPr>
          <w:lang w:val="en-GB"/>
        </w:rPr>
        <w:t>o</w:t>
      </w:r>
      <w:r w:rsidRPr="0025590B">
        <w:rPr>
          <w:lang w:val="en-GB"/>
        </w:rPr>
        <w:t>.</w:t>
      </w:r>
      <w:r w:rsidRPr="0025590B" w:rsidR="006E7201">
        <w:rPr>
          <w:lang w:val="en-GB"/>
        </w:rPr>
        <w:t xml:space="preserve"> 1238. </w:t>
      </w:r>
      <w:r w:rsidRPr="0025590B">
        <w:rPr>
          <w:lang w:val="en-GB"/>
        </w:rPr>
        <w:t>The person concerned</w:t>
      </w:r>
      <w:r w:rsidRPr="0025590B" w:rsidR="006E7201">
        <w:rPr>
          <w:lang w:val="en-GB"/>
        </w:rPr>
        <w:t xml:space="preserve">, </w:t>
      </w:r>
      <w:r w:rsidRPr="0025590B">
        <w:rPr>
          <w:lang w:val="en-GB"/>
        </w:rPr>
        <w:t xml:space="preserve">who </w:t>
      </w:r>
      <w:r w:rsidRPr="0025590B" w:rsidR="00C932B0">
        <w:rPr>
          <w:lang w:val="en-GB"/>
        </w:rPr>
        <w:t>was</w:t>
      </w:r>
      <w:r w:rsidRPr="0025590B" w:rsidR="006E7201">
        <w:rPr>
          <w:lang w:val="en-GB"/>
        </w:rPr>
        <w:t xml:space="preserve"> male, </w:t>
      </w:r>
      <w:r w:rsidRPr="0025590B">
        <w:rPr>
          <w:lang w:val="en-GB"/>
        </w:rPr>
        <w:t>told the public prosecutor</w:t>
      </w:r>
      <w:r w:rsidRPr="0025590B" w:rsidR="006E7201">
        <w:rPr>
          <w:lang w:val="en-GB"/>
        </w:rPr>
        <w:t xml:space="preserve"> that he had always had a typically female </w:t>
      </w:r>
      <w:r w:rsidRPr="0025590B">
        <w:rPr>
          <w:lang w:val="en-GB"/>
        </w:rPr>
        <w:t>mindset</w:t>
      </w:r>
      <w:r w:rsidRPr="0025590B" w:rsidR="006E7201">
        <w:rPr>
          <w:lang w:val="en-GB"/>
        </w:rPr>
        <w:t xml:space="preserve"> and behaviour</w:t>
      </w:r>
      <w:r w:rsidRPr="0025590B">
        <w:rPr>
          <w:lang w:val="en-GB"/>
        </w:rPr>
        <w:t>,</w:t>
      </w:r>
      <w:r w:rsidRPr="0025590B" w:rsidR="006E7201">
        <w:rPr>
          <w:lang w:val="en-GB"/>
        </w:rPr>
        <w:t xml:space="preserve"> and alleged that having a male f</w:t>
      </w:r>
      <w:r w:rsidRPr="0025590B">
        <w:rPr>
          <w:lang w:val="en-GB"/>
        </w:rPr>
        <w:t>ore</w:t>
      </w:r>
      <w:r w:rsidRPr="0025590B" w:rsidR="006E7201">
        <w:rPr>
          <w:lang w:val="en-GB"/>
        </w:rPr>
        <w:t xml:space="preserve">name </w:t>
      </w:r>
      <w:r w:rsidRPr="0025590B">
        <w:rPr>
          <w:lang w:val="en-GB"/>
        </w:rPr>
        <w:t xml:space="preserve">made it difficult for him to integrate socially </w:t>
      </w:r>
      <w:r w:rsidRPr="0025590B" w:rsidR="006E7201">
        <w:rPr>
          <w:lang w:val="en-GB"/>
        </w:rPr>
        <w:t xml:space="preserve">and </w:t>
      </w:r>
      <w:r w:rsidRPr="0025590B">
        <w:rPr>
          <w:lang w:val="en-GB"/>
        </w:rPr>
        <w:t xml:space="preserve">caused him immense </w:t>
      </w:r>
      <w:r w:rsidRPr="0025590B" w:rsidR="006E7201">
        <w:rPr>
          <w:lang w:val="en-GB"/>
        </w:rPr>
        <w:t>personal suffering.</w:t>
      </w:r>
      <w:r w:rsidRPr="0025590B">
        <w:rPr>
          <w:lang w:val="en-GB"/>
        </w:rPr>
        <w:t xml:space="preserve"> The prosecutor declared M.U.</w:t>
      </w:r>
      <w:r w:rsidRPr="0025590B" w:rsidR="0025590B">
        <w:rPr>
          <w:lang w:val="en-GB"/>
        </w:rPr>
        <w:t>’</w:t>
      </w:r>
      <w:r w:rsidRPr="0025590B" w:rsidR="006E7201">
        <w:rPr>
          <w:lang w:val="en-GB"/>
        </w:rPr>
        <w:t>s</w:t>
      </w:r>
      <w:r w:rsidRPr="0025590B">
        <w:rPr>
          <w:lang w:val="en-GB"/>
        </w:rPr>
        <w:t xml:space="preserve"> request admissible and authoris</w:t>
      </w:r>
      <w:r w:rsidRPr="0025590B" w:rsidR="006E7201">
        <w:rPr>
          <w:lang w:val="en-GB"/>
        </w:rPr>
        <w:t xml:space="preserve">ed </w:t>
      </w:r>
      <w:r w:rsidRPr="0025590B" w:rsidR="00D34B67">
        <w:rPr>
          <w:lang w:val="en-GB"/>
        </w:rPr>
        <w:t>the change of</w:t>
      </w:r>
      <w:r w:rsidRPr="0025590B" w:rsidR="006E7201">
        <w:rPr>
          <w:lang w:val="en-GB"/>
        </w:rPr>
        <w:t xml:space="preserve"> </w:t>
      </w:r>
      <w:r w:rsidRPr="0025590B">
        <w:rPr>
          <w:lang w:val="en-GB"/>
        </w:rPr>
        <w:t>fore</w:t>
      </w:r>
      <w:r w:rsidRPr="0025590B" w:rsidR="006E7201">
        <w:rPr>
          <w:lang w:val="en-GB"/>
        </w:rPr>
        <w:t>name.</w:t>
      </w:r>
    </w:p>
    <w:p w:rsidRPr="0025590B" w:rsidR="00250864" w:rsidP="0025590B" w:rsidRDefault="00250864">
      <w:pPr>
        <w:pStyle w:val="ECHRHeading2"/>
        <w:rPr>
          <w:lang w:val="en-GB"/>
        </w:rPr>
      </w:pPr>
      <w:r w:rsidRPr="0025590B">
        <w:rPr>
          <w:lang w:val="en-GB"/>
        </w:rPr>
        <w:t>C.  </w:t>
      </w:r>
      <w:r w:rsidRPr="0025590B" w:rsidR="008E49AA">
        <w:rPr>
          <w:lang w:val="en-GB"/>
        </w:rPr>
        <w:t>The Court of Cassation</w:t>
      </w:r>
      <w:r w:rsidRPr="0025590B" w:rsidR="0025590B">
        <w:rPr>
          <w:lang w:val="en-GB"/>
        </w:rPr>
        <w:t>’</w:t>
      </w:r>
      <w:r w:rsidRPr="0025590B" w:rsidR="008E49AA">
        <w:rPr>
          <w:lang w:val="en-GB"/>
        </w:rPr>
        <w:t>s case-law</w:t>
      </w:r>
    </w:p>
    <w:p w:rsidRPr="0025590B" w:rsidR="008E49AA" w:rsidP="0025590B" w:rsidRDefault="00B87B5A">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24</w:t>
      </w:r>
      <w:r w:rsidRPr="0025590B">
        <w:rPr>
          <w:lang w:val="en-GB"/>
        </w:rPr>
        <w:fldChar w:fldCharType="end"/>
      </w:r>
      <w:r w:rsidRPr="0025590B">
        <w:rPr>
          <w:lang w:val="en-GB"/>
        </w:rPr>
        <w:t>.  </w:t>
      </w:r>
      <w:r w:rsidRPr="0025590B" w:rsidR="008E49AA">
        <w:rPr>
          <w:lang w:val="en-GB"/>
        </w:rPr>
        <w:t xml:space="preserve">In judgment no. 15138 of 20 July 2015, referring </w:t>
      </w:r>
      <w:r w:rsidRPr="0025590B" w:rsidR="008E49AA">
        <w:rPr>
          <w:i/>
          <w:lang w:val="en-GB"/>
        </w:rPr>
        <w:t>inter alia</w:t>
      </w:r>
      <w:r w:rsidRPr="0025590B" w:rsidR="008E49AA">
        <w:rPr>
          <w:lang w:val="en-GB"/>
        </w:rPr>
        <w:t xml:space="preserve"> to the principles set out in the Court</w:t>
      </w:r>
      <w:r w:rsidRPr="0025590B" w:rsidR="0025590B">
        <w:rPr>
          <w:lang w:val="en-GB"/>
        </w:rPr>
        <w:t>’</w:t>
      </w:r>
      <w:r w:rsidRPr="0025590B" w:rsidR="008E49AA">
        <w:rPr>
          <w:lang w:val="en-GB"/>
        </w:rPr>
        <w:t xml:space="preserve">s case-law, the Court of Cassation ruled that </w:t>
      </w:r>
      <w:r w:rsidRPr="0025590B" w:rsidR="00441F4D">
        <w:rPr>
          <w:lang w:val="en-GB"/>
        </w:rPr>
        <w:t>section</w:t>
      </w:r>
      <w:r w:rsidRPr="0025590B" w:rsidR="008E49AA">
        <w:rPr>
          <w:lang w:val="en-GB"/>
        </w:rPr>
        <w:t xml:space="preserve"> 3 of </w:t>
      </w:r>
      <w:r w:rsidRPr="0025590B" w:rsidR="000D4E17">
        <w:rPr>
          <w:lang w:val="en-GB"/>
        </w:rPr>
        <w:t>Law</w:t>
      </w:r>
      <w:r w:rsidRPr="0025590B" w:rsidR="008E49AA">
        <w:rPr>
          <w:lang w:val="en-GB"/>
        </w:rPr>
        <w:t xml:space="preserve"> No. 164 of 1982 could </w:t>
      </w:r>
      <w:r w:rsidRPr="0025590B" w:rsidR="000D4E17">
        <w:rPr>
          <w:lang w:val="en-GB"/>
        </w:rPr>
        <w:t xml:space="preserve">not </w:t>
      </w:r>
      <w:r w:rsidRPr="0025590B" w:rsidR="008E49AA">
        <w:rPr>
          <w:lang w:val="en-GB"/>
        </w:rPr>
        <w:t xml:space="preserve">be </w:t>
      </w:r>
      <w:r w:rsidRPr="0025590B" w:rsidR="000D4E17">
        <w:rPr>
          <w:lang w:val="en-GB"/>
        </w:rPr>
        <w:t>construed</w:t>
      </w:r>
      <w:r w:rsidRPr="0025590B" w:rsidR="008E49AA">
        <w:rPr>
          <w:lang w:val="en-GB"/>
        </w:rPr>
        <w:t xml:space="preserve"> as requiring a </w:t>
      </w:r>
      <w:r w:rsidRPr="0025590B" w:rsidR="000D4E17">
        <w:rPr>
          <w:lang w:val="en-GB"/>
        </w:rPr>
        <w:t>transgender</w:t>
      </w:r>
      <w:r w:rsidRPr="0025590B" w:rsidR="008E49AA">
        <w:rPr>
          <w:lang w:val="en-GB"/>
        </w:rPr>
        <w:t xml:space="preserve"> person to </w:t>
      </w:r>
      <w:r w:rsidRPr="0025590B" w:rsidR="000D4E17">
        <w:rPr>
          <w:lang w:val="en-GB"/>
        </w:rPr>
        <w:t>have recourse</w:t>
      </w:r>
      <w:r w:rsidRPr="0025590B" w:rsidR="008E49AA">
        <w:rPr>
          <w:lang w:val="en-GB"/>
        </w:rPr>
        <w:t xml:space="preserve"> to surgery</w:t>
      </w:r>
      <w:r w:rsidRPr="0025590B" w:rsidR="000D4E17">
        <w:rPr>
          <w:lang w:val="en-GB"/>
        </w:rPr>
        <w:t xml:space="preserve"> in order</w:t>
      </w:r>
      <w:r w:rsidRPr="0025590B" w:rsidR="008E49AA">
        <w:rPr>
          <w:lang w:val="en-GB"/>
        </w:rPr>
        <w:t xml:space="preserve"> to obtain recognition of his or her gender identity, since </w:t>
      </w:r>
      <w:r w:rsidRPr="0025590B" w:rsidR="000D4E17">
        <w:rPr>
          <w:lang w:val="en-GB"/>
        </w:rPr>
        <w:t>a match</w:t>
      </w:r>
      <w:r w:rsidRPr="0025590B" w:rsidR="008E49AA">
        <w:rPr>
          <w:lang w:val="en-GB"/>
        </w:rPr>
        <w:t xml:space="preserve"> between </w:t>
      </w:r>
      <w:r w:rsidRPr="0025590B" w:rsidR="00A44D87">
        <w:rPr>
          <w:lang w:val="en-GB"/>
        </w:rPr>
        <w:t>sexual orientation</w:t>
      </w:r>
      <w:r w:rsidRPr="0025590B" w:rsidR="008E49AA">
        <w:rPr>
          <w:lang w:val="en-GB"/>
        </w:rPr>
        <w:t xml:space="preserve"> and physical appearance could be achieved through psychological and medical treatment </w:t>
      </w:r>
      <w:r w:rsidRPr="0025590B" w:rsidR="000D4E17">
        <w:rPr>
          <w:lang w:val="en-GB"/>
        </w:rPr>
        <w:t>which</w:t>
      </w:r>
      <w:r w:rsidRPr="0025590B" w:rsidR="008E49AA">
        <w:rPr>
          <w:lang w:val="en-GB"/>
        </w:rPr>
        <w:t xml:space="preserve"> respected the person</w:t>
      </w:r>
      <w:r w:rsidRPr="0025590B" w:rsidR="0025590B">
        <w:rPr>
          <w:lang w:val="en-GB"/>
        </w:rPr>
        <w:t>’</w:t>
      </w:r>
      <w:r w:rsidRPr="0025590B" w:rsidR="008E49AA">
        <w:rPr>
          <w:lang w:val="en-GB"/>
        </w:rPr>
        <w:t xml:space="preserve">s physical integrity. The Court </w:t>
      </w:r>
      <w:r w:rsidRPr="0025590B" w:rsidR="000D4E17">
        <w:rPr>
          <w:lang w:val="en-GB"/>
        </w:rPr>
        <w:t xml:space="preserve">of Cassation </w:t>
      </w:r>
      <w:r w:rsidRPr="0025590B" w:rsidR="008E49AA">
        <w:rPr>
          <w:lang w:val="en-GB"/>
        </w:rPr>
        <w:t xml:space="preserve">thus </w:t>
      </w:r>
      <w:r w:rsidRPr="0025590B" w:rsidR="000D4E17">
        <w:rPr>
          <w:lang w:val="en-GB"/>
        </w:rPr>
        <w:t>brought to</w:t>
      </w:r>
      <w:r w:rsidRPr="0025590B" w:rsidR="008E49AA">
        <w:rPr>
          <w:lang w:val="en-GB"/>
        </w:rPr>
        <w:t xml:space="preserve"> an end the divergence of interpretation in this </w:t>
      </w:r>
      <w:r w:rsidRPr="0025590B" w:rsidR="000D4E17">
        <w:rPr>
          <w:lang w:val="en-GB"/>
        </w:rPr>
        <w:t>regard that had existed</w:t>
      </w:r>
      <w:r w:rsidRPr="0025590B" w:rsidR="008E49AA">
        <w:rPr>
          <w:lang w:val="en-GB"/>
        </w:rPr>
        <w:t xml:space="preserve"> </w:t>
      </w:r>
      <w:r w:rsidRPr="0025590B" w:rsidR="0080722B">
        <w:rPr>
          <w:lang w:val="en-GB"/>
        </w:rPr>
        <w:t>bet</w:t>
      </w:r>
      <w:r w:rsidRPr="0025590B" w:rsidR="004B740D">
        <w:rPr>
          <w:lang w:val="en-GB"/>
        </w:rPr>
        <w:t>ween</w:t>
      </w:r>
      <w:r w:rsidRPr="0025590B" w:rsidR="008E49AA">
        <w:rPr>
          <w:lang w:val="en-GB"/>
        </w:rPr>
        <w:t xml:space="preserve"> the </w:t>
      </w:r>
      <w:r w:rsidRPr="0025590B" w:rsidR="000D4E17">
        <w:rPr>
          <w:lang w:val="en-GB"/>
        </w:rPr>
        <w:t xml:space="preserve">lower </w:t>
      </w:r>
      <w:r w:rsidRPr="0025590B" w:rsidR="008E49AA">
        <w:rPr>
          <w:lang w:val="en-GB"/>
        </w:rPr>
        <w:t>courts.</w:t>
      </w:r>
    </w:p>
    <w:p w:rsidRPr="0025590B" w:rsidR="00250864" w:rsidP="0025590B" w:rsidRDefault="00250864">
      <w:pPr>
        <w:pStyle w:val="ECHRHeading2"/>
        <w:rPr>
          <w:lang w:val="en-GB"/>
        </w:rPr>
      </w:pPr>
      <w:r w:rsidRPr="0025590B">
        <w:rPr>
          <w:lang w:val="en-GB"/>
        </w:rPr>
        <w:t>D.  </w:t>
      </w:r>
      <w:r w:rsidRPr="0025590B" w:rsidR="000D4E17">
        <w:rPr>
          <w:lang w:val="en-GB"/>
        </w:rPr>
        <w:t>The Constitutional Court</w:t>
      </w:r>
      <w:r w:rsidRPr="0025590B" w:rsidR="0025590B">
        <w:rPr>
          <w:lang w:val="en-GB"/>
        </w:rPr>
        <w:t>’</w:t>
      </w:r>
      <w:r w:rsidRPr="0025590B" w:rsidR="000D4E17">
        <w:rPr>
          <w:lang w:val="en-GB"/>
        </w:rPr>
        <w:t>s case-law</w:t>
      </w:r>
    </w:p>
    <w:p w:rsidRPr="0025590B" w:rsidR="000D4E17"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25</w:t>
      </w:r>
      <w:r w:rsidRPr="0025590B">
        <w:rPr>
          <w:lang w:val="en-GB"/>
        </w:rPr>
        <w:fldChar w:fldCharType="end"/>
      </w:r>
      <w:r w:rsidRPr="0025590B">
        <w:rPr>
          <w:lang w:val="en-GB"/>
        </w:rPr>
        <w:t>.  </w:t>
      </w:r>
      <w:r w:rsidRPr="0025590B" w:rsidR="000D4E17">
        <w:rPr>
          <w:lang w:val="en-GB"/>
        </w:rPr>
        <w:t xml:space="preserve">By </w:t>
      </w:r>
      <w:r w:rsidRPr="0025590B" w:rsidR="00223435">
        <w:rPr>
          <w:lang w:val="en-GB"/>
        </w:rPr>
        <w:t>judgment</w:t>
      </w:r>
      <w:r w:rsidRPr="0025590B" w:rsidR="000D4E17">
        <w:rPr>
          <w:lang w:val="en-GB"/>
        </w:rPr>
        <w:t xml:space="preserve"> no. 221 of 20 October 2015 the Constitutional Court rejected a plea of unconstitutionality with regard to sections 1 and 3 of Law no. 164 of 1982. Referring, </w:t>
      </w:r>
      <w:r w:rsidRPr="0025590B" w:rsidR="000D4E17">
        <w:rPr>
          <w:i/>
          <w:lang w:val="en-GB"/>
        </w:rPr>
        <w:t>inter alia</w:t>
      </w:r>
      <w:r w:rsidRPr="0025590B" w:rsidR="000D4E17">
        <w:rPr>
          <w:lang w:val="en-GB"/>
        </w:rPr>
        <w:t>, to Court of Cassation decision no.</w:t>
      </w:r>
      <w:r w:rsidRPr="0025590B" w:rsidR="00E91685">
        <w:rPr>
          <w:lang w:val="en-GB"/>
        </w:rPr>
        <w:t> </w:t>
      </w:r>
      <w:r w:rsidRPr="0025590B" w:rsidR="000D4E17">
        <w:rPr>
          <w:lang w:val="en-GB"/>
        </w:rPr>
        <w:t xml:space="preserve">15138, it stated first of all that the legislative provisions in question were the result of cultural and legal change aimed at recognising gender identity as a component of the right to personal identity. </w:t>
      </w:r>
      <w:r w:rsidRPr="0025590B" w:rsidR="00261D1A">
        <w:rPr>
          <w:lang w:val="en-GB"/>
        </w:rPr>
        <w:t>I</w:t>
      </w:r>
      <w:r w:rsidRPr="0025590B" w:rsidR="000D4E17">
        <w:rPr>
          <w:lang w:val="en-GB"/>
        </w:rPr>
        <w:t xml:space="preserve">nterpreting the </w:t>
      </w:r>
      <w:r w:rsidRPr="0025590B" w:rsidR="004B740D">
        <w:rPr>
          <w:lang w:val="en-GB"/>
        </w:rPr>
        <w:t>absence</w:t>
      </w:r>
      <w:r w:rsidRPr="0025590B" w:rsidR="000D4E17">
        <w:rPr>
          <w:lang w:val="en-GB"/>
        </w:rPr>
        <w:t xml:space="preserve"> of an explicit indication of </w:t>
      </w:r>
      <w:r w:rsidRPr="0025590B" w:rsidR="00A326F0">
        <w:rPr>
          <w:lang w:val="en-GB"/>
        </w:rPr>
        <w:t>the means of altering a person</w:t>
      </w:r>
      <w:r w:rsidRPr="0025590B" w:rsidR="0025590B">
        <w:rPr>
          <w:lang w:val="en-GB"/>
        </w:rPr>
        <w:t>’</w:t>
      </w:r>
      <w:r w:rsidRPr="0025590B" w:rsidR="00A326F0">
        <w:rPr>
          <w:lang w:val="en-GB"/>
        </w:rPr>
        <w:t>s</w:t>
      </w:r>
      <w:r w:rsidRPr="0025590B" w:rsidR="000D4E17">
        <w:rPr>
          <w:lang w:val="en-GB"/>
        </w:rPr>
        <w:t xml:space="preserve"> sexual characteristics in the light of fundamental human rights, </w:t>
      </w:r>
      <w:r w:rsidRPr="0025590B" w:rsidR="00261D1A">
        <w:rPr>
          <w:lang w:val="en-GB"/>
        </w:rPr>
        <w:t xml:space="preserve">it added </w:t>
      </w:r>
      <w:r w:rsidRPr="0025590B" w:rsidR="000D4E17">
        <w:rPr>
          <w:lang w:val="en-GB"/>
        </w:rPr>
        <w:t xml:space="preserve">that such absence </w:t>
      </w:r>
      <w:r w:rsidRPr="0025590B" w:rsidR="00A326F0">
        <w:rPr>
          <w:lang w:val="en-GB"/>
        </w:rPr>
        <w:t>meant that</w:t>
      </w:r>
      <w:r w:rsidRPr="0025590B" w:rsidR="000D4E17">
        <w:rPr>
          <w:lang w:val="en-GB"/>
        </w:rPr>
        <w:t xml:space="preserve"> surgical treatment </w:t>
      </w:r>
      <w:r w:rsidRPr="0025590B" w:rsidR="00A326F0">
        <w:rPr>
          <w:lang w:val="en-GB"/>
        </w:rPr>
        <w:t xml:space="preserve">was not a requirement </w:t>
      </w:r>
      <w:r w:rsidRPr="0025590B" w:rsidR="000D4E17">
        <w:rPr>
          <w:lang w:val="en-GB"/>
        </w:rPr>
        <w:t xml:space="preserve">for the purpose of obtaining </w:t>
      </w:r>
      <w:r w:rsidRPr="0025590B" w:rsidR="00242105">
        <w:rPr>
          <w:lang w:val="en-GB"/>
        </w:rPr>
        <w:t>a change of legal gender</w:t>
      </w:r>
      <w:r w:rsidRPr="0025590B" w:rsidR="00930CE9">
        <w:rPr>
          <w:lang w:val="en-GB"/>
        </w:rPr>
        <w:t xml:space="preserve"> status</w:t>
      </w:r>
      <w:r w:rsidRPr="0025590B" w:rsidR="000D4E17">
        <w:rPr>
          <w:lang w:val="en-GB"/>
        </w:rPr>
        <w:t xml:space="preserve">, </w:t>
      </w:r>
      <w:r w:rsidRPr="0025590B" w:rsidR="00A326F0">
        <w:rPr>
          <w:lang w:val="en-GB"/>
        </w:rPr>
        <w:t>as it</w:t>
      </w:r>
      <w:r w:rsidRPr="0025590B" w:rsidR="000D4E17">
        <w:rPr>
          <w:lang w:val="en-GB"/>
        </w:rPr>
        <w:t xml:space="preserve"> was only one of the possible treatments that could be used </w:t>
      </w:r>
      <w:r w:rsidRPr="0025590B" w:rsidR="00A326F0">
        <w:rPr>
          <w:lang w:val="en-GB"/>
        </w:rPr>
        <w:t>in order to alter</w:t>
      </w:r>
      <w:r w:rsidRPr="0025590B" w:rsidR="000D4E17">
        <w:rPr>
          <w:lang w:val="en-GB"/>
        </w:rPr>
        <w:t xml:space="preserve"> </w:t>
      </w:r>
      <w:r w:rsidRPr="0025590B" w:rsidR="004B740D">
        <w:rPr>
          <w:lang w:val="en-GB"/>
        </w:rPr>
        <w:t>a</w:t>
      </w:r>
      <w:r w:rsidRPr="0025590B" w:rsidR="00A326F0">
        <w:rPr>
          <w:lang w:val="en-GB"/>
        </w:rPr>
        <w:t xml:space="preserve"> person</w:t>
      </w:r>
      <w:r w:rsidRPr="0025590B" w:rsidR="0025590B">
        <w:rPr>
          <w:lang w:val="en-GB"/>
        </w:rPr>
        <w:t>’</w:t>
      </w:r>
      <w:r w:rsidRPr="0025590B" w:rsidR="00A326F0">
        <w:rPr>
          <w:lang w:val="en-GB"/>
        </w:rPr>
        <w:t xml:space="preserve">s </w:t>
      </w:r>
      <w:r w:rsidRPr="0025590B" w:rsidR="000D4E17">
        <w:rPr>
          <w:lang w:val="en-GB"/>
        </w:rPr>
        <w:t>appearance.</w:t>
      </w:r>
    </w:p>
    <w:p w:rsidRPr="0025590B" w:rsidR="00250864" w:rsidP="0025590B" w:rsidRDefault="00250864">
      <w:pPr>
        <w:pStyle w:val="ECHRHeading1"/>
        <w:rPr>
          <w:lang w:val="en-GB"/>
        </w:rPr>
      </w:pPr>
      <w:r w:rsidRPr="0025590B">
        <w:rPr>
          <w:lang w:val="en-GB"/>
        </w:rPr>
        <w:t>III.  INTERNATIONAL LAW</w:t>
      </w:r>
    </w:p>
    <w:p w:rsidRPr="0025590B" w:rsidR="00250864" w:rsidP="0025590B" w:rsidRDefault="00250864">
      <w:pPr>
        <w:pStyle w:val="ECHRHeading2"/>
        <w:rPr>
          <w:lang w:val="en-GB"/>
        </w:rPr>
      </w:pPr>
      <w:r w:rsidRPr="0025590B">
        <w:rPr>
          <w:lang w:val="en-GB"/>
        </w:rPr>
        <w:t>A.  </w:t>
      </w:r>
      <w:r w:rsidRPr="0025590B" w:rsidR="00BD2954">
        <w:rPr>
          <w:lang w:val="en-GB"/>
        </w:rPr>
        <w:t>United Nations</w:t>
      </w:r>
    </w:p>
    <w:p w:rsidRPr="0025590B" w:rsidR="00A326F0" w:rsidP="0025590B" w:rsidRDefault="007A2957">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26</w:t>
      </w:r>
      <w:r w:rsidRPr="0025590B">
        <w:rPr>
          <w:noProof/>
          <w:lang w:val="en-GB"/>
        </w:rPr>
        <w:fldChar w:fldCharType="end"/>
      </w:r>
      <w:r w:rsidRPr="0025590B" w:rsidR="00B87B5A">
        <w:rPr>
          <w:lang w:val="en-GB"/>
        </w:rPr>
        <w:t>.  </w:t>
      </w:r>
      <w:r w:rsidRPr="0025590B" w:rsidR="00A326F0">
        <w:rPr>
          <w:lang w:val="en-GB"/>
        </w:rPr>
        <w:t xml:space="preserve">In her report of 17 November 2011 to the Human Rights Council on discriminatory laws and practices and acts of violence against individuals based on their sexual orientation and gender identity (A/HRC/19/41), the United Nations High Commissioner for Human Rights noted in particular that the regulations in countries that recognised changes in gender often required, implicitly or explicitly, that applicants undergo sterilisation surgery as a condition of recognition (§ 72). She </w:t>
      </w:r>
      <w:r w:rsidRPr="0025590B" w:rsidR="004C493D">
        <w:rPr>
          <w:lang w:val="en-GB"/>
        </w:rPr>
        <w:t>recommended</w:t>
      </w:r>
      <w:r w:rsidRPr="0025590B" w:rsidR="00A326F0">
        <w:rPr>
          <w:lang w:val="en-GB"/>
        </w:rPr>
        <w:t>, among other</w:t>
      </w:r>
      <w:r w:rsidRPr="0025590B" w:rsidR="004C493D">
        <w:rPr>
          <w:lang w:val="en-GB"/>
        </w:rPr>
        <w:t xml:space="preserve"> thing</w:t>
      </w:r>
      <w:r w:rsidRPr="0025590B" w:rsidR="00A326F0">
        <w:rPr>
          <w:lang w:val="en-GB"/>
        </w:rPr>
        <w:t xml:space="preserve">s, </w:t>
      </w:r>
      <w:r w:rsidRPr="0025590B" w:rsidR="004C493D">
        <w:rPr>
          <w:lang w:val="en-GB"/>
        </w:rPr>
        <w:t>that</w:t>
      </w:r>
      <w:r w:rsidRPr="0025590B" w:rsidR="00A326F0">
        <w:rPr>
          <w:lang w:val="en-GB"/>
        </w:rPr>
        <w:t xml:space="preserve"> Member States (§ 84 (h)):</w:t>
      </w:r>
    </w:p>
    <w:p w:rsidRPr="0025590B" w:rsidR="004C493D" w:rsidP="0025590B" w:rsidRDefault="004C493D">
      <w:pPr>
        <w:pStyle w:val="ECHRParaQuote"/>
        <w:rPr>
          <w:lang w:val="en-GB"/>
        </w:rPr>
      </w:pPr>
      <w:r w:rsidRPr="0025590B">
        <w:rPr>
          <w:bCs/>
          <w:lang w:val="en-GB"/>
        </w:rPr>
        <w:t>“[f]acilitate legal recognition of the preferred gender of transgender persons and establish arrangements to permit relevant identity documents to be reissued reflecting preferred gender and name, without infringements of other human rights.”</w:t>
      </w:r>
    </w:p>
    <w:p w:rsidRPr="0025590B" w:rsidR="004C493D" w:rsidP="0025590B" w:rsidRDefault="00250864">
      <w:pPr>
        <w:pStyle w:val="ECHRHeading2"/>
        <w:rPr>
          <w:lang w:val="en-GB"/>
        </w:rPr>
      </w:pPr>
      <w:r w:rsidRPr="0025590B">
        <w:rPr>
          <w:lang w:val="en-GB"/>
        </w:rPr>
        <w:t>B.  </w:t>
      </w:r>
      <w:r w:rsidRPr="0025590B" w:rsidR="004C493D">
        <w:rPr>
          <w:lang w:val="en-GB"/>
        </w:rPr>
        <w:t>The Committee of Ministers and Parliamentary Assembly of the Council of Europe</w:t>
      </w:r>
    </w:p>
    <w:p w:rsidRPr="0025590B" w:rsidR="004C493D"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27</w:t>
      </w:r>
      <w:r w:rsidRPr="0025590B">
        <w:rPr>
          <w:lang w:val="en-GB"/>
        </w:rPr>
        <w:fldChar w:fldCharType="end"/>
      </w:r>
      <w:r w:rsidRPr="0025590B">
        <w:rPr>
          <w:lang w:val="en-GB"/>
        </w:rPr>
        <w:t>.  </w:t>
      </w:r>
      <w:r w:rsidRPr="0025590B" w:rsidR="004C493D">
        <w:rPr>
          <w:lang w:val="en-GB"/>
        </w:rPr>
        <w:t xml:space="preserve">On 31 March 2010 the Committee of Ministers of the Council of Europe adopted </w:t>
      </w:r>
      <w:r w:rsidRPr="0025590B" w:rsidR="004C493D">
        <w:rPr>
          <w:bCs/>
          <w:lang w:val="en-GB"/>
        </w:rPr>
        <w:t>Recommendation</w:t>
      </w:r>
      <w:r w:rsidRPr="0025590B" w:rsidR="004C493D">
        <w:rPr>
          <w:b/>
          <w:bCs/>
          <w:lang w:val="en-GB"/>
        </w:rPr>
        <w:t> </w:t>
      </w:r>
      <w:r w:rsidRPr="0025590B" w:rsidR="004C493D">
        <w:rPr>
          <w:bCs/>
          <w:lang w:val="en-GB"/>
        </w:rPr>
        <w:t xml:space="preserve">CM/Rec(2010)5 on measures to combat discrimination on grounds of sexual orientation or gender identity. The recommendation states in particular that </w:t>
      </w:r>
      <w:r w:rsidRPr="0025590B" w:rsidR="00512A3F">
        <w:rPr>
          <w:bCs/>
          <w:lang w:val="en-GB"/>
        </w:rPr>
        <w:t>“</w:t>
      </w:r>
      <w:r w:rsidRPr="0025590B" w:rsidR="00261D1A">
        <w:rPr>
          <w:bCs/>
          <w:lang w:val="en-GB"/>
        </w:rPr>
        <w:t>[m]</w:t>
      </w:r>
      <w:r w:rsidRPr="0025590B" w:rsidR="00512A3F">
        <w:rPr>
          <w:bCs/>
          <w:lang w:val="en-GB"/>
        </w:rPr>
        <w:t>ember states should take appropriate measures to guarantee the full legal recognition of a person</w:t>
      </w:r>
      <w:r w:rsidRPr="0025590B" w:rsidR="0025590B">
        <w:rPr>
          <w:bCs/>
          <w:lang w:val="en-GB"/>
        </w:rPr>
        <w:t>’</w:t>
      </w:r>
      <w:r w:rsidRPr="0025590B" w:rsidR="00512A3F">
        <w:rPr>
          <w:bCs/>
          <w:lang w:val="en-GB"/>
        </w:rPr>
        <w:t>s gender reassignment in all areas of life, in particular by making possible the change of name and gender in official documents in a quick, transparent and accessible way; member states should also ensure, where appropriate, the corresponding recognition and changes by non-state actors with respect to key documents, such as educational or work certificates” (Appendix, point 21).</w:t>
      </w:r>
    </w:p>
    <w:p w:rsidRPr="0025590B" w:rsidR="00250864" w:rsidP="0025590B" w:rsidRDefault="00250864">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28</w:t>
      </w:r>
      <w:r w:rsidRPr="0025590B">
        <w:rPr>
          <w:lang w:val="en-GB"/>
        </w:rPr>
        <w:fldChar w:fldCharType="end"/>
      </w:r>
      <w:r w:rsidRPr="0025590B">
        <w:rPr>
          <w:lang w:val="en-GB"/>
        </w:rPr>
        <w:t>.  </w:t>
      </w:r>
      <w:r w:rsidRPr="0025590B" w:rsidR="00512A3F">
        <w:rPr>
          <w:lang w:val="en-GB"/>
        </w:rPr>
        <w:t>In Resolution</w:t>
      </w:r>
      <w:r w:rsidRPr="0025590B">
        <w:rPr>
          <w:lang w:val="en-GB"/>
        </w:rPr>
        <w:t xml:space="preserve"> 1728 (2010), </w:t>
      </w:r>
      <w:r w:rsidRPr="0025590B" w:rsidR="00512A3F">
        <w:rPr>
          <w:lang w:val="en-GB"/>
        </w:rPr>
        <w:t xml:space="preserve">adopted on 29 April </w:t>
      </w:r>
      <w:r w:rsidRPr="0025590B">
        <w:rPr>
          <w:lang w:val="en-GB"/>
        </w:rPr>
        <w:t xml:space="preserve">2010, </w:t>
      </w:r>
      <w:r w:rsidRPr="0025590B" w:rsidR="00512A3F">
        <w:rPr>
          <w:lang w:val="en-GB"/>
        </w:rPr>
        <w:t xml:space="preserve">on discrimination on the basis of sexual orientation and gender identity, the Parliamentary Assembly of the Council of Europe called on States </w:t>
      </w:r>
      <w:r w:rsidRPr="0025590B" w:rsidR="00261D1A">
        <w:rPr>
          <w:lang w:val="en-GB"/>
        </w:rPr>
        <w:t xml:space="preserve">to </w:t>
      </w:r>
      <w:r w:rsidRPr="0025590B" w:rsidR="00512A3F">
        <w:rPr>
          <w:lang w:val="en-GB"/>
        </w:rPr>
        <w:t xml:space="preserve">“address the specific discrimination and human rights violations faced by transgender persons and, in particular, ensure in legislation and in practice [the right of transgender persons] to </w:t>
      </w:r>
      <w:r w:rsidRPr="0025590B" w:rsidR="0025590B">
        <w:rPr>
          <w:lang w:val="en-GB"/>
        </w:rPr>
        <w:t>...</w:t>
      </w:r>
      <w:r w:rsidRPr="0025590B" w:rsidR="00512A3F">
        <w:rPr>
          <w:lang w:val="en-GB"/>
        </w:rPr>
        <w:t xml:space="preserve"> official documents that reflect an individual</w:t>
      </w:r>
      <w:r w:rsidRPr="0025590B" w:rsidR="0025590B">
        <w:rPr>
          <w:lang w:val="en-GB"/>
        </w:rPr>
        <w:t>’</w:t>
      </w:r>
      <w:r w:rsidRPr="0025590B" w:rsidR="00512A3F">
        <w:rPr>
          <w:lang w:val="en-GB"/>
        </w:rPr>
        <w:t>s preferred gender identity, without any prior obligation to undergo sterilisation or other medical procedures such as sex reassignment surgery and hormonal therapy”</w:t>
      </w:r>
      <w:r w:rsidRPr="0025590B">
        <w:rPr>
          <w:lang w:val="en-GB"/>
        </w:rPr>
        <w:t xml:space="preserve"> (point 16.11.2).</w:t>
      </w:r>
    </w:p>
    <w:p w:rsidRPr="0025590B" w:rsidR="001962A0" w:rsidP="0025590B" w:rsidRDefault="001962A0">
      <w:pPr>
        <w:pStyle w:val="ECHRTitle1"/>
        <w:rPr>
          <w:lang w:val="en-GB"/>
        </w:rPr>
      </w:pPr>
      <w:r w:rsidRPr="0025590B">
        <w:rPr>
          <w:lang w:val="en-GB"/>
        </w:rPr>
        <w:t>THE LAW</w:t>
      </w:r>
    </w:p>
    <w:p w:rsidRPr="0025590B" w:rsidR="001962A0" w:rsidP="0025590B" w:rsidRDefault="001962A0">
      <w:pPr>
        <w:pStyle w:val="ECHRHeading1"/>
        <w:rPr>
          <w:lang w:val="en-GB"/>
        </w:rPr>
      </w:pPr>
      <w:r w:rsidRPr="0025590B">
        <w:rPr>
          <w:lang w:val="en-GB"/>
        </w:rPr>
        <w:t>I.  ALLEGED VIOLATION OF ARTICLE</w:t>
      </w:r>
      <w:r w:rsidRPr="0025590B" w:rsidR="00684353">
        <w:rPr>
          <w:lang w:val="en-GB"/>
        </w:rPr>
        <w:t xml:space="preserve"> 8</w:t>
      </w:r>
      <w:r w:rsidRPr="0025590B">
        <w:rPr>
          <w:lang w:val="en-GB"/>
        </w:rPr>
        <w:t xml:space="preserve"> OF THE CONVENTION</w:t>
      </w:r>
    </w:p>
    <w:p w:rsidRPr="0025590B" w:rsidR="00512A3F"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29</w:t>
      </w:r>
      <w:r w:rsidRPr="0025590B">
        <w:rPr>
          <w:lang w:val="en-GB"/>
        </w:rPr>
        <w:fldChar w:fldCharType="end"/>
      </w:r>
      <w:r w:rsidRPr="0025590B">
        <w:rPr>
          <w:lang w:val="en-GB"/>
        </w:rPr>
        <w:t>.  </w:t>
      </w:r>
      <w:r w:rsidRPr="0025590B" w:rsidR="00512A3F">
        <w:rPr>
          <w:lang w:val="en-GB"/>
        </w:rPr>
        <w:t xml:space="preserve">The applicant alleged that the refusal of her request to change her forename, on the grounds that </w:t>
      </w:r>
      <w:r w:rsidRPr="0025590B" w:rsidR="00B457F0">
        <w:rPr>
          <w:lang w:val="en-GB"/>
        </w:rPr>
        <w:t>her</w:t>
      </w:r>
      <w:r w:rsidRPr="0025590B" w:rsidR="00512A3F">
        <w:rPr>
          <w:lang w:val="en-GB"/>
        </w:rPr>
        <w:t xml:space="preserve"> gender reassignment surgery</w:t>
      </w:r>
      <w:r w:rsidRPr="0025590B" w:rsidR="00B457F0">
        <w:rPr>
          <w:lang w:val="en-GB"/>
        </w:rPr>
        <w:t xml:space="preserve"> had not yet been performed</w:t>
      </w:r>
      <w:r w:rsidRPr="0025590B" w:rsidR="00512A3F">
        <w:rPr>
          <w:lang w:val="en-GB"/>
        </w:rPr>
        <w:t>, infringed her right to respect for her private life under Article 8 of the Convention, which provides:</w:t>
      </w:r>
    </w:p>
    <w:p w:rsidRPr="0025590B" w:rsidR="00512A3F" w:rsidP="0025590B" w:rsidRDefault="00512A3F">
      <w:pPr>
        <w:pStyle w:val="ECHRParaQuote"/>
        <w:rPr>
          <w:lang w:val="en-GB"/>
        </w:rPr>
      </w:pPr>
      <w:r w:rsidRPr="0025590B">
        <w:rPr>
          <w:lang w:val="en-GB"/>
        </w:rPr>
        <w:t>“1.  Everyone has the right to respect for his private and family life, his home and his correspondence.</w:t>
      </w:r>
    </w:p>
    <w:p w:rsidRPr="0025590B" w:rsidR="00512A3F" w:rsidP="0025590B" w:rsidRDefault="00512A3F">
      <w:pPr>
        <w:pStyle w:val="ECHRParaQuote"/>
        <w:rPr>
          <w:lang w:val="en-GB"/>
        </w:rPr>
      </w:pPr>
      <w:r w:rsidRPr="0025590B">
        <w:rPr>
          <w:lang w:val="en-GB"/>
        </w:rPr>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30</w:t>
      </w:r>
      <w:r w:rsidRPr="0025590B">
        <w:rPr>
          <w:lang w:val="en-GB"/>
        </w:rPr>
        <w:fldChar w:fldCharType="end"/>
      </w:r>
      <w:r w:rsidRPr="0025590B">
        <w:rPr>
          <w:lang w:val="en-GB"/>
        </w:rPr>
        <w:t>.  </w:t>
      </w:r>
      <w:r w:rsidRPr="0025590B" w:rsidR="00512A3F">
        <w:rPr>
          <w:lang w:val="en-GB"/>
        </w:rPr>
        <w:t>The applicant also relied on A</w:t>
      </w:r>
      <w:r w:rsidRPr="0025590B">
        <w:rPr>
          <w:lang w:val="en-GB"/>
        </w:rPr>
        <w:t xml:space="preserve">rticle 3 </w:t>
      </w:r>
      <w:r w:rsidRPr="0025590B" w:rsidR="00512A3F">
        <w:rPr>
          <w:lang w:val="en-GB"/>
        </w:rPr>
        <w:t>of the Convention, which reads as follows</w:t>
      </w:r>
      <w:r w:rsidRPr="0025590B">
        <w:rPr>
          <w:lang w:val="en-GB"/>
        </w:rPr>
        <w:t>:</w:t>
      </w:r>
    </w:p>
    <w:p w:rsidRPr="0025590B" w:rsidR="00512A3F" w:rsidP="0025590B" w:rsidRDefault="00512A3F">
      <w:pPr>
        <w:pStyle w:val="ECHRParaQuote"/>
        <w:rPr>
          <w:lang w:val="en-GB"/>
        </w:rPr>
      </w:pPr>
      <w:r w:rsidRPr="0025590B">
        <w:rPr>
          <w:lang w:val="en-GB"/>
        </w:rPr>
        <w:t>“No one shall be subjected to torture or to inhuman or degrading treatment or punishment.”</w:t>
      </w:r>
    </w:p>
    <w:p w:rsidRPr="0025590B" w:rsidR="00CC1AB7" w:rsidP="0025590B" w:rsidRDefault="00684353">
      <w:pPr>
        <w:pStyle w:val="ECHRPara"/>
        <w:rPr>
          <w:i/>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31</w:t>
      </w:r>
      <w:r w:rsidRPr="0025590B">
        <w:rPr>
          <w:lang w:val="en-GB"/>
        </w:rPr>
        <w:fldChar w:fldCharType="end"/>
      </w:r>
      <w:r w:rsidRPr="0025590B">
        <w:rPr>
          <w:lang w:val="en-GB"/>
        </w:rPr>
        <w:t>.  </w:t>
      </w:r>
      <w:r w:rsidRPr="0025590B" w:rsidR="00247F1E">
        <w:rPr>
          <w:lang w:val="en-GB"/>
        </w:rPr>
        <w:t>As</w:t>
      </w:r>
      <w:r w:rsidRPr="0025590B" w:rsidR="00512A3F">
        <w:rPr>
          <w:lang w:val="en-GB"/>
        </w:rPr>
        <w:t xml:space="preserve"> master of the characterisation to be given in law to the facts of the case, </w:t>
      </w:r>
      <w:r w:rsidRPr="0025590B" w:rsidR="00247F1E">
        <w:rPr>
          <w:lang w:val="en-GB"/>
        </w:rPr>
        <w:t>the Court</w:t>
      </w:r>
      <w:r w:rsidRPr="0025590B" w:rsidR="00512A3F">
        <w:rPr>
          <w:lang w:val="en-GB"/>
        </w:rPr>
        <w:t xml:space="preserve"> considers it appropriate to examine the applicant</w:t>
      </w:r>
      <w:r w:rsidRPr="0025590B" w:rsidR="0025590B">
        <w:rPr>
          <w:lang w:val="en-GB"/>
        </w:rPr>
        <w:t>’</w:t>
      </w:r>
      <w:r w:rsidRPr="0025590B" w:rsidR="00512A3F">
        <w:rPr>
          <w:lang w:val="en-GB"/>
        </w:rPr>
        <w:t xml:space="preserve">s allegations from the standpoint of Article 8 of the Convention alone (see </w:t>
      </w:r>
      <w:r w:rsidRPr="0025590B" w:rsidR="00CC1AB7">
        <w:rPr>
          <w:i/>
          <w:lang w:val="en-GB"/>
        </w:rPr>
        <w:t>A.P., Garçon and Nicot v. France</w:t>
      </w:r>
      <w:r w:rsidRPr="0025590B" w:rsidR="00CC1AB7">
        <w:rPr>
          <w:lang w:val="en-GB"/>
        </w:rPr>
        <w:t>, nos. 79885/12 and 2 others, § 149, 6</w:t>
      </w:r>
      <w:r w:rsidRPr="0025590B" w:rsidR="00E91685">
        <w:rPr>
          <w:lang w:val="en-GB"/>
        </w:rPr>
        <w:t> </w:t>
      </w:r>
      <w:r w:rsidRPr="0025590B" w:rsidR="00CC1AB7">
        <w:rPr>
          <w:lang w:val="en-GB"/>
        </w:rPr>
        <w:t xml:space="preserve">April 2017 (extracts), and </w:t>
      </w:r>
      <w:r w:rsidRPr="0025590B" w:rsidR="00CC1AB7">
        <w:rPr>
          <w:i/>
          <w:iCs/>
          <w:lang w:val="en-GB"/>
        </w:rPr>
        <w:t>Radomilja and Others v. Croatia</w:t>
      </w:r>
      <w:r w:rsidRPr="0025590B" w:rsidR="00CC1AB7">
        <w:rPr>
          <w:lang w:val="en-GB"/>
        </w:rPr>
        <w:t xml:space="preserve"> [GC]</w:t>
      </w:r>
      <w:r w:rsidRPr="0025590B" w:rsidR="00CC1AB7">
        <w:rPr>
          <w:lang w:val="en-GB" w:eastAsia="en-GB"/>
        </w:rPr>
        <w:t xml:space="preserve">, </w:t>
      </w:r>
      <w:r w:rsidRPr="0025590B" w:rsidR="00CC1AB7">
        <w:rPr>
          <w:lang w:val="en-GB"/>
        </w:rPr>
        <w:t>nos.</w:t>
      </w:r>
      <w:r w:rsidRPr="0025590B" w:rsidR="00E91685">
        <w:rPr>
          <w:lang w:val="en-GB"/>
        </w:rPr>
        <w:t> </w:t>
      </w:r>
      <w:r w:rsidRPr="0025590B" w:rsidR="00CC1AB7">
        <w:rPr>
          <w:lang w:val="en-GB"/>
        </w:rPr>
        <w:t>37685/10 and 22768/12</w:t>
      </w:r>
      <w:r w:rsidRPr="0025590B" w:rsidR="00CC1AB7">
        <w:rPr>
          <w:lang w:val="en-GB" w:eastAsia="en-GB"/>
        </w:rPr>
        <w:t xml:space="preserve">, </w:t>
      </w:r>
      <w:r w:rsidRPr="0025590B" w:rsidR="00CC1AB7">
        <w:rPr>
          <w:lang w:val="en-GB"/>
        </w:rPr>
        <w:t>§ 126, 20 March 2018).</w:t>
      </w:r>
    </w:p>
    <w:p w:rsidRPr="0025590B" w:rsidR="001962A0" w:rsidP="0025590B" w:rsidRDefault="001962A0">
      <w:pPr>
        <w:pStyle w:val="ECHRHeading2"/>
        <w:rPr>
          <w:lang w:val="en-GB"/>
        </w:rPr>
      </w:pPr>
      <w:r w:rsidRPr="0025590B">
        <w:rPr>
          <w:lang w:val="en-GB"/>
        </w:rPr>
        <w:t>A.  Admissibility</w:t>
      </w:r>
    </w:p>
    <w:p w:rsidRPr="0025590B" w:rsidR="00684353" w:rsidP="0025590B" w:rsidRDefault="00684353">
      <w:pPr>
        <w:pStyle w:val="ECHRHeading3"/>
        <w:rPr>
          <w:lang w:val="en-GB"/>
        </w:rPr>
      </w:pPr>
      <w:r w:rsidRPr="0025590B">
        <w:rPr>
          <w:lang w:val="en-GB"/>
        </w:rPr>
        <w:t>1.  </w:t>
      </w:r>
      <w:r w:rsidRPr="0025590B" w:rsidR="00CC1AB7">
        <w:rPr>
          <w:lang w:val="en-GB"/>
        </w:rPr>
        <w:t>The applicant</w:t>
      </w:r>
      <w:r w:rsidRPr="0025590B" w:rsidR="0025590B">
        <w:rPr>
          <w:lang w:val="en-GB"/>
        </w:rPr>
        <w:t>’</w:t>
      </w:r>
      <w:r w:rsidRPr="0025590B" w:rsidR="00CC1AB7">
        <w:rPr>
          <w:lang w:val="en-GB"/>
        </w:rPr>
        <w:t>s victim status</w:t>
      </w:r>
    </w:p>
    <w:p w:rsidRPr="0025590B" w:rsidR="00CC1AB7"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32</w:t>
      </w:r>
      <w:r w:rsidRPr="0025590B">
        <w:rPr>
          <w:lang w:val="en-GB"/>
        </w:rPr>
        <w:fldChar w:fldCharType="end"/>
      </w:r>
      <w:r w:rsidRPr="0025590B">
        <w:rPr>
          <w:lang w:val="en-GB"/>
        </w:rPr>
        <w:t>.  </w:t>
      </w:r>
      <w:r w:rsidRPr="0025590B" w:rsidR="00CC1AB7">
        <w:rPr>
          <w:lang w:val="en-GB"/>
        </w:rPr>
        <w:t>The applicant submitted that she continued to be the victim of the alleged violation despite having been given permission to change her name by the Rome District Court</w:t>
      </w:r>
      <w:r w:rsidRPr="0025590B" w:rsidR="0025590B">
        <w:rPr>
          <w:lang w:val="en-GB"/>
        </w:rPr>
        <w:t>’</w:t>
      </w:r>
      <w:r w:rsidRPr="0025590B" w:rsidR="00CC1AB7">
        <w:rPr>
          <w:lang w:val="en-GB"/>
        </w:rPr>
        <w:t>s judgment of 10 October 2003.</w:t>
      </w:r>
    </w:p>
    <w:p w:rsidRPr="0025590B" w:rsidR="009C2D69" w:rsidP="0025590B" w:rsidRDefault="00684353">
      <w:pPr>
        <w:pStyle w:val="ECHRPara"/>
        <w:rPr>
          <w:i/>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33</w:t>
      </w:r>
      <w:r w:rsidRPr="0025590B">
        <w:rPr>
          <w:lang w:val="en-GB"/>
        </w:rPr>
        <w:fldChar w:fldCharType="end"/>
      </w:r>
      <w:r w:rsidRPr="0025590B">
        <w:rPr>
          <w:lang w:val="en-GB"/>
        </w:rPr>
        <w:t>.  </w:t>
      </w:r>
      <w:r w:rsidRPr="0025590B" w:rsidR="00CC1AB7">
        <w:rPr>
          <w:lang w:val="en-GB"/>
        </w:rPr>
        <w:t>Although the Government did not raise any objection regarding the applicant</w:t>
      </w:r>
      <w:r w:rsidRPr="0025590B" w:rsidR="0025590B">
        <w:rPr>
          <w:lang w:val="en-GB"/>
        </w:rPr>
        <w:t>’</w:t>
      </w:r>
      <w:r w:rsidRPr="0025590B" w:rsidR="00CC1AB7">
        <w:rPr>
          <w:lang w:val="en-GB"/>
        </w:rPr>
        <w:t xml:space="preserve">s victim status, the Court is not prevented from examining the issue of its own motion, in so far as it goes to its jurisdiction (see, for instance, </w:t>
      </w:r>
      <w:r w:rsidRPr="0025590B" w:rsidR="00CC1AB7">
        <w:rPr>
          <w:i/>
          <w:lang w:val="en-GB"/>
        </w:rPr>
        <w:t xml:space="preserve">Buzadji v. the Republic of Moldova </w:t>
      </w:r>
      <w:r w:rsidRPr="0025590B" w:rsidR="00CC1AB7">
        <w:rPr>
          <w:lang w:val="en-GB"/>
        </w:rPr>
        <w:t>[GC], no. 23755/07</w:t>
      </w:r>
      <w:r w:rsidRPr="0025590B" w:rsidR="00CC1AB7">
        <w:rPr>
          <w:snapToGrid w:val="0"/>
          <w:lang w:val="en-GB"/>
        </w:rPr>
        <w:t xml:space="preserve">, § 70, </w:t>
      </w:r>
      <w:r w:rsidRPr="0025590B" w:rsidR="00CC1AB7">
        <w:rPr>
          <w:lang w:val="en-GB"/>
        </w:rPr>
        <w:t>5</w:t>
      </w:r>
      <w:r w:rsidRPr="0025590B" w:rsidR="00E91685">
        <w:rPr>
          <w:lang w:val="en-GB"/>
        </w:rPr>
        <w:t> </w:t>
      </w:r>
      <w:r w:rsidRPr="0025590B" w:rsidR="00CC1AB7">
        <w:rPr>
          <w:lang w:val="en-GB"/>
        </w:rPr>
        <w:t>July</w:t>
      </w:r>
      <w:r w:rsidRPr="0025590B" w:rsidR="00CC1AB7">
        <w:rPr>
          <w:snapToGrid w:val="0"/>
          <w:lang w:val="en-GB"/>
        </w:rPr>
        <w:t xml:space="preserve"> 2016, and </w:t>
      </w:r>
      <w:r w:rsidRPr="0025590B" w:rsidR="009C2D69">
        <w:rPr>
          <w:i/>
          <w:iCs/>
          <w:lang w:val="en-GB"/>
        </w:rPr>
        <w:t>Orlandi and Others v. Italy</w:t>
      </w:r>
      <w:r w:rsidRPr="0025590B" w:rsidR="009C2D69">
        <w:rPr>
          <w:lang w:val="en-GB" w:eastAsia="en-GB"/>
        </w:rPr>
        <w:t xml:space="preserve">, nos. </w:t>
      </w:r>
      <w:r w:rsidRPr="0025590B" w:rsidR="009C2D69">
        <w:rPr>
          <w:lang w:val="en-GB"/>
        </w:rPr>
        <w:t>26431/12 and 3 others</w:t>
      </w:r>
      <w:r w:rsidRPr="0025590B" w:rsidR="009C2D69">
        <w:rPr>
          <w:lang w:val="en-GB" w:eastAsia="en-GB"/>
        </w:rPr>
        <w:t xml:space="preserve">, </w:t>
      </w:r>
      <w:r w:rsidRPr="0025590B" w:rsidR="009C2D69">
        <w:rPr>
          <w:lang w:val="en-GB"/>
        </w:rPr>
        <w:t>§</w:t>
      </w:r>
      <w:r w:rsidRPr="0025590B" w:rsidR="00E91685">
        <w:rPr>
          <w:lang w:val="en-GB"/>
        </w:rPr>
        <w:t> </w:t>
      </w:r>
      <w:r w:rsidRPr="0025590B" w:rsidR="009C2D69">
        <w:rPr>
          <w:lang w:val="en-GB"/>
        </w:rPr>
        <w:t>117, 14 December 2017).</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34</w:t>
      </w:r>
      <w:r w:rsidRPr="0025590B">
        <w:rPr>
          <w:lang w:val="en-GB"/>
        </w:rPr>
        <w:fldChar w:fldCharType="end"/>
      </w:r>
      <w:r w:rsidRPr="0025590B">
        <w:rPr>
          <w:lang w:val="en-GB"/>
        </w:rPr>
        <w:t>.  </w:t>
      </w:r>
      <w:r w:rsidRPr="0025590B" w:rsidR="009C2D69">
        <w:rPr>
          <w:lang w:val="en-GB"/>
        </w:rPr>
        <w:t>The Court reiterates that a decision or measure favourable to the applicant is not, in principle, sufficient to deprive him</w:t>
      </w:r>
      <w:r w:rsidRPr="0025590B" w:rsidR="00C932B0">
        <w:rPr>
          <w:lang w:val="en-GB"/>
        </w:rPr>
        <w:t xml:space="preserve"> or her</w:t>
      </w:r>
      <w:r w:rsidRPr="0025590B" w:rsidR="009C2D69">
        <w:rPr>
          <w:lang w:val="en-GB"/>
        </w:rPr>
        <w:t xml:space="preserve"> of his </w:t>
      </w:r>
      <w:r w:rsidRPr="0025590B" w:rsidR="00C932B0">
        <w:rPr>
          <w:lang w:val="en-GB"/>
        </w:rPr>
        <w:t xml:space="preserve">or her </w:t>
      </w:r>
      <w:r w:rsidRPr="0025590B" w:rsidR="009C2D69">
        <w:rPr>
          <w:lang w:val="en-GB"/>
        </w:rPr>
        <w:t>status as a “victim” for the purposes of Article 34 of the Convention unless the national authorities have acknowledged, either expressly or in substance, and then afforded redress for the breach of the Convention (see, for example, </w:t>
      </w:r>
      <w:r w:rsidRPr="0025590B" w:rsidR="009C2D69">
        <w:rPr>
          <w:i/>
          <w:iCs/>
          <w:lang w:val="en-GB"/>
        </w:rPr>
        <w:t>Eckle v. Germany</w:t>
      </w:r>
      <w:r w:rsidRPr="0025590B" w:rsidR="009C2D69">
        <w:rPr>
          <w:lang w:val="en-GB"/>
        </w:rPr>
        <w:t>, 15 July 1982, § 66, Series A no. 51; </w:t>
      </w:r>
      <w:r w:rsidRPr="0025590B" w:rsidR="009C2D69">
        <w:rPr>
          <w:i/>
          <w:iCs/>
          <w:lang w:val="en-GB"/>
        </w:rPr>
        <w:t>Dalban v.</w:t>
      </w:r>
      <w:r w:rsidRPr="0025590B" w:rsidR="00E91685">
        <w:rPr>
          <w:i/>
          <w:iCs/>
          <w:lang w:val="en-GB"/>
        </w:rPr>
        <w:t> </w:t>
      </w:r>
      <w:r w:rsidRPr="0025590B" w:rsidR="009C2D69">
        <w:rPr>
          <w:i/>
          <w:iCs/>
          <w:lang w:val="en-GB"/>
        </w:rPr>
        <w:t>Romania</w:t>
      </w:r>
      <w:r w:rsidRPr="0025590B" w:rsidR="009C2D69">
        <w:rPr>
          <w:lang w:val="en-GB"/>
        </w:rPr>
        <w:t> [GC], no. 28114/95, § 44, ECHR 1999-VI; </w:t>
      </w:r>
      <w:r w:rsidRPr="0025590B" w:rsidR="009C2D69">
        <w:rPr>
          <w:i/>
          <w:iCs/>
          <w:lang w:val="en-GB"/>
        </w:rPr>
        <w:t xml:space="preserve"> </w:t>
      </w:r>
      <w:r w:rsidRPr="0025590B" w:rsidR="009C2D69">
        <w:rPr>
          <w:i/>
          <w:lang w:val="en-GB"/>
        </w:rPr>
        <w:t xml:space="preserve">Scordino v. Italy (no. 1) </w:t>
      </w:r>
      <w:r w:rsidRPr="0025590B" w:rsidR="009C2D69">
        <w:rPr>
          <w:lang w:val="en-GB"/>
        </w:rPr>
        <w:t>[GC], no. 36813/97, §</w:t>
      </w:r>
      <w:r w:rsidRPr="0025590B" w:rsidR="00065485">
        <w:rPr>
          <w:lang w:val="en-GB"/>
        </w:rPr>
        <w:t>§</w:t>
      </w:r>
      <w:r w:rsidRPr="0025590B" w:rsidR="002C78D4">
        <w:rPr>
          <w:lang w:val="en-GB"/>
        </w:rPr>
        <w:t xml:space="preserve"> 179-</w:t>
      </w:r>
      <w:r w:rsidRPr="0025590B" w:rsidR="009C2D69">
        <w:rPr>
          <w:lang w:val="en-GB"/>
        </w:rPr>
        <w:t>80, ECHR 2006</w:t>
      </w:r>
      <w:r w:rsidRPr="0025590B" w:rsidR="009C2D69">
        <w:rPr>
          <w:lang w:val="en-GB"/>
        </w:rPr>
        <w:noBreakHyphen/>
        <w:t xml:space="preserve">V; and </w:t>
      </w:r>
      <w:r w:rsidRPr="0025590B" w:rsidR="009C2D69">
        <w:rPr>
          <w:i/>
          <w:lang w:val="en-GB"/>
        </w:rPr>
        <w:t>Gäfgen v.</w:t>
      </w:r>
      <w:r w:rsidRPr="0025590B" w:rsidR="00E91685">
        <w:rPr>
          <w:i/>
          <w:lang w:val="en-GB"/>
        </w:rPr>
        <w:t> </w:t>
      </w:r>
      <w:r w:rsidRPr="0025590B" w:rsidR="009C2D69">
        <w:rPr>
          <w:i/>
          <w:lang w:val="en-GB"/>
        </w:rPr>
        <w:t>Germany</w:t>
      </w:r>
      <w:r w:rsidRPr="0025590B" w:rsidR="009C2D69">
        <w:rPr>
          <w:lang w:val="en-GB"/>
        </w:rPr>
        <w:t xml:space="preserve"> [GC], no. 22978/05, § 115, ECHR 2010). Only where both these conditions have been satisfied does the subsidiary nature of the protective mechanism of the Convention preclude examination of the application (see </w:t>
      </w:r>
      <w:r w:rsidRPr="0025590B" w:rsidR="009C2D69">
        <w:rPr>
          <w:i/>
          <w:lang w:val="en-GB"/>
        </w:rPr>
        <w:t>Eckle</w:t>
      </w:r>
      <w:r w:rsidRPr="0025590B" w:rsidR="009C2D69">
        <w:rPr>
          <w:lang w:val="en-GB"/>
        </w:rPr>
        <w:t xml:space="preserve">, cited above, </w:t>
      </w:r>
      <w:r w:rsidRPr="0025590B">
        <w:rPr>
          <w:lang w:val="en-GB"/>
        </w:rPr>
        <w:t xml:space="preserve">§§ 69 et </w:t>
      </w:r>
      <w:r w:rsidRPr="0025590B" w:rsidR="009C2D69">
        <w:rPr>
          <w:lang w:val="en-GB"/>
        </w:rPr>
        <w:t>seq.</w:t>
      </w:r>
      <w:r w:rsidRPr="0025590B">
        <w:rPr>
          <w:lang w:val="en-GB"/>
        </w:rPr>
        <w:t>).</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35</w:t>
      </w:r>
      <w:r w:rsidRPr="0025590B">
        <w:rPr>
          <w:lang w:val="en-GB"/>
        </w:rPr>
        <w:fldChar w:fldCharType="end"/>
      </w:r>
      <w:r w:rsidRPr="0025590B">
        <w:rPr>
          <w:lang w:val="en-GB"/>
        </w:rPr>
        <w:t>.  </w:t>
      </w:r>
      <w:r w:rsidRPr="0025590B" w:rsidR="0062262C">
        <w:rPr>
          <w:lang w:val="en-GB"/>
        </w:rPr>
        <w:t xml:space="preserve">In the present case it is true that the national authorities adopted a decision favourable to the applicant in giving her permission to change her name as she had requested. However, the Court cannot overlook the fact that the </w:t>
      </w:r>
      <w:r w:rsidRPr="0025590B" w:rsidR="000B023E">
        <w:rPr>
          <w:lang w:val="en-GB"/>
        </w:rPr>
        <w:t xml:space="preserve">situation which gave rise to the present </w:t>
      </w:r>
      <w:r w:rsidRPr="0025590B" w:rsidR="002C78D4">
        <w:rPr>
          <w:lang w:val="en-GB"/>
        </w:rPr>
        <w:t>application</w:t>
      </w:r>
      <w:r w:rsidRPr="0025590B" w:rsidR="000B023E">
        <w:rPr>
          <w:lang w:val="en-GB"/>
        </w:rPr>
        <w:t>, namely the applicant</w:t>
      </w:r>
      <w:r w:rsidRPr="0025590B" w:rsidR="0025590B">
        <w:rPr>
          <w:lang w:val="en-GB"/>
        </w:rPr>
        <w:t>’</w:t>
      </w:r>
      <w:r w:rsidRPr="0025590B" w:rsidR="000B023E">
        <w:rPr>
          <w:lang w:val="en-GB"/>
        </w:rPr>
        <w:t>s inability to obtain a change of name owing to the refusal of the judicial authorities, lasted for over two and a half years. The Court considers that the applicant</w:t>
      </w:r>
      <w:r w:rsidRPr="0025590B" w:rsidR="0025590B">
        <w:rPr>
          <w:lang w:val="en-GB"/>
        </w:rPr>
        <w:t>’</w:t>
      </w:r>
      <w:r w:rsidRPr="0025590B" w:rsidR="000B023E">
        <w:rPr>
          <w:lang w:val="en-GB"/>
        </w:rPr>
        <w:t>s private life was directly affected by the courts</w:t>
      </w:r>
      <w:r w:rsidRPr="0025590B" w:rsidR="0025590B">
        <w:rPr>
          <w:lang w:val="en-GB"/>
        </w:rPr>
        <w:t>’</w:t>
      </w:r>
      <w:r w:rsidRPr="0025590B" w:rsidR="000B023E">
        <w:rPr>
          <w:lang w:val="en-GB"/>
        </w:rPr>
        <w:t xml:space="preserve"> refusal during this period (see </w:t>
      </w:r>
      <w:r w:rsidRPr="0025590B" w:rsidR="000B023E">
        <w:rPr>
          <w:i/>
          <w:lang w:val="en-GB"/>
        </w:rPr>
        <w:t>Y.Y.</w:t>
      </w:r>
      <w:r w:rsidRPr="0025590B" w:rsidR="000B023E">
        <w:rPr>
          <w:lang w:val="en-GB"/>
        </w:rPr>
        <w:t xml:space="preserve"> </w:t>
      </w:r>
      <w:r w:rsidRPr="0025590B" w:rsidR="000B023E">
        <w:rPr>
          <w:i/>
          <w:lang w:val="en-GB"/>
        </w:rPr>
        <w:t>v. Turkey</w:t>
      </w:r>
      <w:r w:rsidRPr="0025590B" w:rsidR="000B023E">
        <w:rPr>
          <w:lang w:val="en-GB"/>
        </w:rPr>
        <w:t>, no. 14793/08</w:t>
      </w:r>
      <w:r w:rsidRPr="0025590B" w:rsidR="000B023E">
        <w:rPr>
          <w:snapToGrid w:val="0"/>
          <w:lang w:val="en-GB"/>
        </w:rPr>
        <w:t>, § 53, ECHR 2015 (extracts)). Furthermore, neither the judgment of 10 October 2003 nor the other domestic decisions in the applicant</w:t>
      </w:r>
      <w:r w:rsidRPr="0025590B" w:rsidR="0025590B">
        <w:rPr>
          <w:snapToGrid w:val="0"/>
          <w:lang w:val="en-GB"/>
        </w:rPr>
        <w:t>’</w:t>
      </w:r>
      <w:r w:rsidRPr="0025590B" w:rsidR="000B023E">
        <w:rPr>
          <w:snapToGrid w:val="0"/>
          <w:lang w:val="en-GB"/>
        </w:rPr>
        <w:t>s case contained any express acknowledgement of a violation of the applicant</w:t>
      </w:r>
      <w:r w:rsidRPr="0025590B" w:rsidR="0025590B">
        <w:rPr>
          <w:snapToGrid w:val="0"/>
          <w:lang w:val="en-GB"/>
        </w:rPr>
        <w:t>’</w:t>
      </w:r>
      <w:r w:rsidRPr="0025590B" w:rsidR="000B023E">
        <w:rPr>
          <w:snapToGrid w:val="0"/>
          <w:lang w:val="en-GB"/>
        </w:rPr>
        <w:t xml:space="preserve">s Convention rights. </w:t>
      </w:r>
      <w:r w:rsidRPr="0025590B" w:rsidR="002C78D4">
        <w:rPr>
          <w:snapToGrid w:val="0"/>
          <w:lang w:val="en-GB"/>
        </w:rPr>
        <w:t>Hence</w:t>
      </w:r>
      <w:r w:rsidRPr="0025590B" w:rsidR="000B023E">
        <w:rPr>
          <w:snapToGrid w:val="0"/>
          <w:lang w:val="en-GB"/>
        </w:rPr>
        <w:t>, the authorisation granted to the applicant cannot be interpreted as acknowledging in substance a violation of her right to respect for her private life</w:t>
      </w:r>
      <w:r w:rsidRPr="0025590B">
        <w:rPr>
          <w:lang w:val="en-GB"/>
        </w:rPr>
        <w:t xml:space="preserve"> (</w:t>
      </w:r>
      <w:r w:rsidRPr="0025590B" w:rsidR="000B023E">
        <w:rPr>
          <w:lang w:val="en-GB"/>
        </w:rPr>
        <w:t>ibid.</w:t>
      </w:r>
      <w:r w:rsidRPr="0025590B">
        <w:rPr>
          <w:lang w:val="en-GB"/>
        </w:rPr>
        <w:t>, § 53).</w:t>
      </w:r>
    </w:p>
    <w:p w:rsidRPr="0025590B" w:rsidR="0025590B"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36</w:t>
      </w:r>
      <w:r w:rsidRPr="0025590B">
        <w:rPr>
          <w:lang w:val="en-GB"/>
        </w:rPr>
        <w:fldChar w:fldCharType="end"/>
      </w:r>
      <w:r w:rsidRPr="0025590B">
        <w:rPr>
          <w:lang w:val="en-GB"/>
        </w:rPr>
        <w:t>.  </w:t>
      </w:r>
      <w:r w:rsidRPr="0025590B" w:rsidR="000B023E">
        <w:rPr>
          <w:lang w:val="en-GB"/>
        </w:rPr>
        <w:t>Accordingly, the Court finds that the applicant can claim to be a “victim” within the meaning of Article 34 of the Convention.</w:t>
      </w:r>
    </w:p>
    <w:p w:rsidRPr="0025590B" w:rsidR="00684353" w:rsidP="0025590B" w:rsidRDefault="00684353">
      <w:pPr>
        <w:pStyle w:val="ECHRHeading3"/>
        <w:rPr>
          <w:lang w:val="en-GB"/>
        </w:rPr>
      </w:pPr>
      <w:r w:rsidRPr="0025590B">
        <w:rPr>
          <w:lang w:val="en-GB"/>
        </w:rPr>
        <w:t>2.  </w:t>
      </w:r>
      <w:r w:rsidRPr="0025590B" w:rsidR="000B023E">
        <w:rPr>
          <w:lang w:val="en-GB"/>
        </w:rPr>
        <w:t>Exhaustion</w:t>
      </w:r>
      <w:r w:rsidRPr="0025590B" w:rsidR="00CF67D6">
        <w:rPr>
          <w:lang w:val="en-GB"/>
        </w:rPr>
        <w:t xml:space="preserve"> of domestic remedies</w:t>
      </w:r>
    </w:p>
    <w:p w:rsidRPr="0025590B" w:rsidR="00CF67D6"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37</w:t>
      </w:r>
      <w:r w:rsidRPr="0025590B">
        <w:rPr>
          <w:lang w:val="en-GB"/>
        </w:rPr>
        <w:fldChar w:fldCharType="end"/>
      </w:r>
      <w:r w:rsidRPr="0025590B">
        <w:rPr>
          <w:lang w:val="en-GB"/>
        </w:rPr>
        <w:t>.  </w:t>
      </w:r>
      <w:r w:rsidRPr="0025590B" w:rsidR="00CF67D6">
        <w:rPr>
          <w:lang w:val="en-GB"/>
        </w:rPr>
        <w:t xml:space="preserve">The Government raised an objection of failure to exhaust domestic remedies on the grounds that the applicant had not appealed against the judgment of the Regional Administrative Court to the </w:t>
      </w:r>
      <w:r w:rsidRPr="0025590B" w:rsidR="00CF67D6">
        <w:rPr>
          <w:i/>
          <w:lang w:val="en-GB"/>
        </w:rPr>
        <w:t>Consiglio di Stato</w:t>
      </w:r>
      <w:r w:rsidRPr="0025590B" w:rsidR="00CF67D6">
        <w:rPr>
          <w:lang w:val="en-GB"/>
        </w:rPr>
        <w:t xml:space="preserve">. They maintained that the highest administrative court </w:t>
      </w:r>
      <w:r w:rsidRPr="0025590B" w:rsidR="00B457F0">
        <w:rPr>
          <w:lang w:val="en-GB"/>
        </w:rPr>
        <w:t>might</w:t>
      </w:r>
      <w:r w:rsidRPr="0025590B" w:rsidR="00CF67D6">
        <w:rPr>
          <w:lang w:val="en-GB"/>
        </w:rPr>
        <w:t xml:space="preserve"> have accepted the applicant</w:t>
      </w:r>
      <w:r w:rsidRPr="0025590B" w:rsidR="0025590B">
        <w:rPr>
          <w:lang w:val="en-GB"/>
        </w:rPr>
        <w:t>’</w:t>
      </w:r>
      <w:r w:rsidRPr="0025590B" w:rsidR="00CF67D6">
        <w:rPr>
          <w:lang w:val="en-GB"/>
        </w:rPr>
        <w:t>s arguments and set aside the prefect</w:t>
      </w:r>
      <w:r w:rsidRPr="0025590B" w:rsidR="0025590B">
        <w:rPr>
          <w:lang w:val="en-GB"/>
        </w:rPr>
        <w:t>’</w:t>
      </w:r>
      <w:r w:rsidRPr="0025590B" w:rsidR="00CF67D6">
        <w:rPr>
          <w:lang w:val="en-GB"/>
        </w:rPr>
        <w:t>s decision.</w:t>
      </w:r>
    </w:p>
    <w:p w:rsidRPr="0025590B" w:rsidR="00CF67D6" w:rsidP="0025590B" w:rsidRDefault="00B87B5A">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38</w:t>
      </w:r>
      <w:r w:rsidRPr="0025590B">
        <w:rPr>
          <w:lang w:val="en-GB"/>
        </w:rPr>
        <w:fldChar w:fldCharType="end"/>
      </w:r>
      <w:r w:rsidRPr="0025590B">
        <w:rPr>
          <w:lang w:val="en-GB"/>
        </w:rPr>
        <w:t>.  </w:t>
      </w:r>
      <w:r w:rsidRPr="0025590B" w:rsidR="00CF67D6">
        <w:rPr>
          <w:lang w:val="en-GB"/>
        </w:rPr>
        <w:t xml:space="preserve">The applicant replied that an appeal to the </w:t>
      </w:r>
      <w:r w:rsidRPr="0025590B" w:rsidR="00CF67D6">
        <w:rPr>
          <w:i/>
          <w:lang w:val="en-GB"/>
        </w:rPr>
        <w:t xml:space="preserve">Consiglio di Stato </w:t>
      </w:r>
      <w:r w:rsidRPr="0025590B" w:rsidR="00CF67D6">
        <w:rPr>
          <w:lang w:val="en-GB"/>
        </w:rPr>
        <w:t xml:space="preserve">would have had no prospect of success in view of the positive law in force in Italy, which precluded any change of forename before the </w:t>
      </w:r>
      <w:r w:rsidRPr="0025590B" w:rsidR="00255701">
        <w:rPr>
          <w:lang w:val="en-GB"/>
        </w:rPr>
        <w:t xml:space="preserve">change of </w:t>
      </w:r>
      <w:r w:rsidRPr="0025590B" w:rsidR="002C78D4">
        <w:rPr>
          <w:lang w:val="en-GB"/>
        </w:rPr>
        <w:t xml:space="preserve">legal </w:t>
      </w:r>
      <w:r w:rsidRPr="0025590B">
        <w:rPr>
          <w:lang w:val="en-GB"/>
        </w:rPr>
        <w:t xml:space="preserve">gender </w:t>
      </w:r>
      <w:r w:rsidRPr="0025590B" w:rsidR="00930CE9">
        <w:rPr>
          <w:lang w:val="en-GB"/>
        </w:rPr>
        <w:t xml:space="preserve">status </w:t>
      </w:r>
      <w:r w:rsidRPr="0025590B">
        <w:rPr>
          <w:lang w:val="en-GB"/>
        </w:rPr>
        <w:t xml:space="preserve">had been </w:t>
      </w:r>
      <w:r w:rsidRPr="0025590B" w:rsidR="00930CE9">
        <w:rPr>
          <w:lang w:val="en-GB"/>
        </w:rPr>
        <w:t xml:space="preserve">ordered </w:t>
      </w:r>
      <w:r w:rsidRPr="0025590B">
        <w:rPr>
          <w:lang w:val="en-GB"/>
        </w:rPr>
        <w:t xml:space="preserve">by the </w:t>
      </w:r>
      <w:r w:rsidRPr="0025590B" w:rsidR="00CF67D6">
        <w:rPr>
          <w:lang w:val="en-GB"/>
        </w:rPr>
        <w:t>courts</w:t>
      </w:r>
      <w:r w:rsidRPr="0025590B" w:rsidR="00C31C0C">
        <w:rPr>
          <w:lang w:val="en-GB"/>
        </w:rPr>
        <w:t xml:space="preserve">. Since the entry into force of Presidential Decree no. 396 of 2000, in other words, since responsibility for taking decisions on requests for a change of name had been devolved to the prefects, no request made by a transgender person during the gender transition process had been granted; that had not been the case under the previous arrangement, when responsibility had lain with the public prosecutor. In her application, the applicant cited in that regard a decision of 12 April 1999 in a similar case to her own. She added that the Government had not demonstrated that an appeal to the </w:t>
      </w:r>
      <w:r w:rsidRPr="0025590B" w:rsidR="00C31C0C">
        <w:rPr>
          <w:i/>
          <w:lang w:val="en-GB"/>
        </w:rPr>
        <w:t xml:space="preserve">Consiglio di Stato </w:t>
      </w:r>
      <w:r w:rsidRPr="0025590B" w:rsidR="00C31C0C">
        <w:rPr>
          <w:lang w:val="en-GB"/>
        </w:rPr>
        <w:t>would have produced a favourable outcome and was therefore a remedy that had to be exercised.</w:t>
      </w:r>
    </w:p>
    <w:p w:rsidRPr="0025590B" w:rsidR="00684353" w:rsidP="0025590B" w:rsidRDefault="00684353">
      <w:pPr>
        <w:pStyle w:val="ECHRPara"/>
        <w:rPr>
          <w:i/>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39</w:t>
      </w:r>
      <w:r w:rsidRPr="0025590B">
        <w:rPr>
          <w:lang w:val="en-GB"/>
        </w:rPr>
        <w:fldChar w:fldCharType="end"/>
      </w:r>
      <w:r w:rsidRPr="0025590B">
        <w:rPr>
          <w:lang w:val="en-GB"/>
        </w:rPr>
        <w:t>.  </w:t>
      </w:r>
      <w:r w:rsidRPr="0025590B" w:rsidR="00C31C0C">
        <w:rPr>
          <w:lang w:val="en-GB"/>
        </w:rPr>
        <w:t xml:space="preserve">The Court observes that the obligation to exhaust domestic remedies requires applicants </w:t>
      </w:r>
      <w:r w:rsidRPr="0025590B" w:rsidR="00987DF6">
        <w:rPr>
          <w:lang w:val="en-GB"/>
        </w:rPr>
        <w:t>to have normal recourse to remedies which are available and sufficient to afford redress in respect of the breaches alleged.  The existence of the remedies in question must be sufficiently certain not only in theory but in practice, failing which they will lack the requisite accessibility and effectiveness</w:t>
      </w:r>
      <w:r w:rsidRPr="0025590B">
        <w:rPr>
          <w:lang w:val="en-GB"/>
        </w:rPr>
        <w:t xml:space="preserve"> (</w:t>
      </w:r>
      <w:r w:rsidRPr="0025590B" w:rsidR="00987DF6">
        <w:rPr>
          <w:lang w:val="en-GB"/>
        </w:rPr>
        <w:t xml:space="preserve">see </w:t>
      </w:r>
      <w:r w:rsidRPr="0025590B" w:rsidR="00987DF6">
        <w:rPr>
          <w:i/>
          <w:lang w:val="en-GB"/>
        </w:rPr>
        <w:t>Akdivar and Others v. Turkey</w:t>
      </w:r>
      <w:r w:rsidRPr="0025590B" w:rsidR="00987DF6">
        <w:rPr>
          <w:lang w:val="en-GB"/>
        </w:rPr>
        <w:t xml:space="preserve">, 16 September 1996, § 66, </w:t>
      </w:r>
      <w:r w:rsidRPr="0025590B" w:rsidR="00987DF6">
        <w:rPr>
          <w:i/>
          <w:lang w:val="en-GB"/>
        </w:rPr>
        <w:t>Reports of Judgments and Decisions</w:t>
      </w:r>
      <w:r w:rsidRPr="0025590B" w:rsidR="00987DF6">
        <w:rPr>
          <w:lang w:val="en-GB"/>
        </w:rPr>
        <w:t xml:space="preserve"> 1996</w:t>
      </w:r>
      <w:r w:rsidRPr="0025590B" w:rsidR="00987DF6">
        <w:rPr>
          <w:lang w:val="en-GB"/>
        </w:rPr>
        <w:noBreakHyphen/>
        <w:t>IV). Furthermore, the rule on exhaustion of domestic remedies is neither absolute nor capable of being applied automatically; in reviewing whether it has been observed it is essential to have regard to the particular circumstances of each individual case. This means amongst other things that the Court must take realistic account of the general legal and political context in which the remedies operate, as well as the personal circumstances of the applicants</w:t>
      </w:r>
      <w:r w:rsidRPr="0025590B">
        <w:rPr>
          <w:lang w:val="en-GB"/>
        </w:rPr>
        <w:t xml:space="preserve"> (</w:t>
      </w:r>
      <w:r w:rsidRPr="0025590B" w:rsidR="00987DF6">
        <w:rPr>
          <w:lang w:val="en-GB"/>
        </w:rPr>
        <w:t xml:space="preserve">see </w:t>
      </w:r>
      <w:r w:rsidRPr="0025590B" w:rsidR="00987DF6">
        <w:rPr>
          <w:i/>
          <w:lang w:val="en-GB"/>
        </w:rPr>
        <w:t>Menteş and Others v. Turkey</w:t>
      </w:r>
      <w:r w:rsidRPr="0025590B" w:rsidR="00987DF6">
        <w:rPr>
          <w:lang w:val="en-GB"/>
        </w:rPr>
        <w:t xml:space="preserve">, 28 November 1997, § 58, </w:t>
      </w:r>
      <w:r w:rsidRPr="0025590B" w:rsidR="00987DF6">
        <w:rPr>
          <w:i/>
          <w:lang w:val="en-GB"/>
        </w:rPr>
        <w:t xml:space="preserve">Reports </w:t>
      </w:r>
      <w:r w:rsidRPr="0025590B" w:rsidR="00987DF6">
        <w:rPr>
          <w:lang w:val="en-GB"/>
        </w:rPr>
        <w:t>1997</w:t>
      </w:r>
      <w:r w:rsidRPr="0025590B" w:rsidR="00987DF6">
        <w:rPr>
          <w:lang w:val="en-GB"/>
        </w:rPr>
        <w:noBreakHyphen/>
        <w:t xml:space="preserve">VIII, and </w:t>
      </w:r>
      <w:r w:rsidRPr="0025590B">
        <w:rPr>
          <w:i/>
          <w:lang w:val="en-GB"/>
        </w:rPr>
        <w:t xml:space="preserve">Gas </w:t>
      </w:r>
      <w:r w:rsidRPr="0025590B" w:rsidR="00987DF6">
        <w:rPr>
          <w:i/>
          <w:lang w:val="en-GB"/>
        </w:rPr>
        <w:t>and</w:t>
      </w:r>
      <w:r w:rsidRPr="0025590B">
        <w:rPr>
          <w:i/>
          <w:lang w:val="en-GB"/>
        </w:rPr>
        <w:t xml:space="preserve"> Dubois </w:t>
      </w:r>
      <w:r w:rsidRPr="0025590B" w:rsidR="00987DF6">
        <w:rPr>
          <w:i/>
          <w:lang w:val="en-GB"/>
        </w:rPr>
        <w:t>v</w:t>
      </w:r>
      <w:r w:rsidRPr="0025590B">
        <w:rPr>
          <w:i/>
          <w:lang w:val="en-GB"/>
        </w:rPr>
        <w:t>. France</w:t>
      </w:r>
      <w:r w:rsidRPr="0025590B">
        <w:rPr>
          <w:lang w:val="en-GB"/>
        </w:rPr>
        <w:t xml:space="preserve"> (d</w:t>
      </w:r>
      <w:r w:rsidRPr="0025590B" w:rsidR="00987DF6">
        <w:rPr>
          <w:lang w:val="en-GB"/>
        </w:rPr>
        <w:t>e</w:t>
      </w:r>
      <w:r w:rsidRPr="0025590B">
        <w:rPr>
          <w:lang w:val="en-GB"/>
        </w:rPr>
        <w:t xml:space="preserve">c.), </w:t>
      </w:r>
      <w:r w:rsidRPr="0025590B" w:rsidR="00987DF6">
        <w:rPr>
          <w:lang w:val="en-GB"/>
        </w:rPr>
        <w:t>no.</w:t>
      </w:r>
      <w:r w:rsidRPr="0025590B">
        <w:rPr>
          <w:lang w:val="en-GB"/>
        </w:rPr>
        <w:t xml:space="preserve"> 25951/07, 31 </w:t>
      </w:r>
      <w:r w:rsidRPr="0025590B" w:rsidR="00987DF6">
        <w:rPr>
          <w:lang w:val="en-GB"/>
        </w:rPr>
        <w:t>August</w:t>
      </w:r>
      <w:r w:rsidRPr="0025590B">
        <w:rPr>
          <w:lang w:val="en-GB"/>
        </w:rPr>
        <w:t xml:space="preserve"> 2010).</w:t>
      </w:r>
    </w:p>
    <w:p w:rsidRPr="0025590B" w:rsidR="00FB1D04"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40</w:t>
      </w:r>
      <w:r w:rsidRPr="0025590B">
        <w:rPr>
          <w:lang w:val="en-GB"/>
        </w:rPr>
        <w:fldChar w:fldCharType="end"/>
      </w:r>
      <w:r w:rsidRPr="0025590B">
        <w:rPr>
          <w:lang w:val="en-GB"/>
        </w:rPr>
        <w:t>.  </w:t>
      </w:r>
      <w:r w:rsidRPr="0025590B" w:rsidR="006251CA">
        <w:rPr>
          <w:lang w:val="en-GB"/>
        </w:rPr>
        <w:t xml:space="preserve">The Court further reiterates that, to be effective, a remedy must be capable of remedying directly the impugned state of affairs and offer reasonable prospects of success (see </w:t>
      </w:r>
      <w:r w:rsidRPr="0025590B" w:rsidR="006251CA">
        <w:rPr>
          <w:i/>
          <w:lang w:val="en-GB"/>
        </w:rPr>
        <w:t>Balogh v. Hungary</w:t>
      </w:r>
      <w:r w:rsidRPr="0025590B" w:rsidR="006251CA">
        <w:rPr>
          <w:lang w:val="en-GB"/>
        </w:rPr>
        <w:t>, no. 47940/99, §</w:t>
      </w:r>
      <w:r w:rsidRPr="0025590B" w:rsidR="00E91685">
        <w:rPr>
          <w:lang w:val="en-GB"/>
        </w:rPr>
        <w:t> </w:t>
      </w:r>
      <w:r w:rsidRPr="0025590B" w:rsidR="006251CA">
        <w:rPr>
          <w:lang w:val="en-GB"/>
        </w:rPr>
        <w:t xml:space="preserve">30, 20 July 2004, and </w:t>
      </w:r>
      <w:r w:rsidRPr="0025590B" w:rsidR="00FB1D04">
        <w:rPr>
          <w:i/>
          <w:lang w:val="en-GB"/>
        </w:rPr>
        <w:t xml:space="preserve">Sejdovic v. Italy </w:t>
      </w:r>
      <w:r w:rsidRPr="0025590B" w:rsidR="00FB1D04">
        <w:rPr>
          <w:lang w:val="en-GB"/>
        </w:rPr>
        <w:t>[GC], no. 56581/00, § 46, ECHR</w:t>
      </w:r>
      <w:r w:rsidRPr="0025590B" w:rsidR="00E91685">
        <w:rPr>
          <w:lang w:val="en-GB"/>
        </w:rPr>
        <w:t> </w:t>
      </w:r>
      <w:r w:rsidRPr="0025590B" w:rsidR="00FB1D04">
        <w:rPr>
          <w:lang w:val="en-GB"/>
        </w:rPr>
        <w:t>2006</w:t>
      </w:r>
      <w:r w:rsidRPr="0025590B" w:rsidR="00FB1D04">
        <w:rPr>
          <w:lang w:val="en-GB"/>
        </w:rPr>
        <w:noBreakHyphen/>
        <w:t xml:space="preserve">II). However, the existence of mere doubts as to the prospects of success of a particular remedy which is not obviously futile is not a valid reason for failing to exhaust that avenue of redress (see </w:t>
      </w:r>
      <w:r w:rsidRPr="0025590B" w:rsidR="00FB1D04">
        <w:rPr>
          <w:i/>
          <w:lang w:val="en-GB"/>
        </w:rPr>
        <w:t>Scoppola v. Italy</w:t>
      </w:r>
      <w:r w:rsidRPr="0025590B" w:rsidR="00FB1D04">
        <w:rPr>
          <w:lang w:val="en-GB"/>
        </w:rPr>
        <w:t xml:space="preserve"> </w:t>
      </w:r>
      <w:r w:rsidRPr="0025590B" w:rsidR="00FB1D04">
        <w:rPr>
          <w:i/>
          <w:lang w:val="en-GB"/>
        </w:rPr>
        <w:t xml:space="preserve">(no. 2) </w:t>
      </w:r>
      <w:r w:rsidRPr="0025590B" w:rsidR="00FB1D04">
        <w:rPr>
          <w:lang w:val="en-GB"/>
        </w:rPr>
        <w:t>[GC], no. 10249/03, § 70, 17 September 2009).</w:t>
      </w:r>
    </w:p>
    <w:p w:rsidRPr="0025590B" w:rsidR="00FB1D04"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41</w:t>
      </w:r>
      <w:r w:rsidRPr="0025590B">
        <w:rPr>
          <w:lang w:val="en-GB"/>
        </w:rPr>
        <w:fldChar w:fldCharType="end"/>
      </w:r>
      <w:r w:rsidRPr="0025590B">
        <w:rPr>
          <w:lang w:val="en-GB"/>
        </w:rPr>
        <w:t>.  </w:t>
      </w:r>
      <w:r w:rsidRPr="0025590B" w:rsidR="00FB1D04">
        <w:rPr>
          <w:lang w:val="en-GB"/>
        </w:rPr>
        <w:t>Lastly, the Court reiterates that, as regards the burden of proof, it is incumbent on the Government claiming non-exhaustion to satisfy the Court that the remedy was an effective one, available in theory and in practice at the relevant time. Once this burden has been satisfied, it falls to the applicant to establish that the remedy advanced by the Government was in fact exhausted, or was for some reason inadequate and ineffective in the particular circumstances of the case, or that there existed special circumstances absolving him or her from this requirement</w:t>
      </w:r>
      <w:r w:rsidRPr="0025590B">
        <w:rPr>
          <w:lang w:val="en-GB"/>
        </w:rPr>
        <w:t xml:space="preserve"> (</w:t>
      </w:r>
      <w:r w:rsidRPr="0025590B" w:rsidR="00FB1D04">
        <w:rPr>
          <w:lang w:val="en-GB"/>
        </w:rPr>
        <w:t xml:space="preserve">see </w:t>
      </w:r>
      <w:r w:rsidRPr="0025590B" w:rsidR="00FB1D04">
        <w:rPr>
          <w:i/>
          <w:lang w:val="en-GB"/>
        </w:rPr>
        <w:t xml:space="preserve">McFarlane v. Ireland </w:t>
      </w:r>
      <w:r w:rsidRPr="0025590B" w:rsidR="00FB1D04">
        <w:rPr>
          <w:snapToGrid w:val="0"/>
          <w:lang w:val="en-GB"/>
        </w:rPr>
        <w:t>[GC]</w:t>
      </w:r>
      <w:r w:rsidRPr="0025590B" w:rsidR="00FB1D04">
        <w:rPr>
          <w:lang w:val="en-GB"/>
        </w:rPr>
        <w:t xml:space="preserve">, no. 31333/06, § 107, 10 September 2010, and </w:t>
      </w:r>
      <w:r w:rsidRPr="0025590B" w:rsidR="00FB1D04">
        <w:rPr>
          <w:i/>
          <w:lang w:val="en-GB"/>
        </w:rPr>
        <w:t xml:space="preserve">Vučković and Others v. Serbia </w:t>
      </w:r>
      <w:r w:rsidRPr="0025590B" w:rsidR="00FB1D04">
        <w:rPr>
          <w:lang w:val="en-GB"/>
        </w:rPr>
        <w:t>(preliminary objection) [GC], nos. 17153/11 and 29 others, § 77, 25 March 2014).</w:t>
      </w:r>
    </w:p>
    <w:p w:rsidRPr="0025590B" w:rsidR="00FB1D04"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42</w:t>
      </w:r>
      <w:r w:rsidRPr="0025590B">
        <w:rPr>
          <w:lang w:val="en-GB"/>
        </w:rPr>
        <w:fldChar w:fldCharType="end"/>
      </w:r>
      <w:r w:rsidRPr="0025590B">
        <w:rPr>
          <w:lang w:val="en-GB"/>
        </w:rPr>
        <w:t>.  </w:t>
      </w:r>
      <w:r w:rsidRPr="0025590B" w:rsidR="00FB1D04">
        <w:rPr>
          <w:lang w:val="en-GB"/>
        </w:rPr>
        <w:t>In the present case the Court observes</w:t>
      </w:r>
      <w:r w:rsidRPr="0025590B" w:rsidR="00A84E09">
        <w:rPr>
          <w:lang w:val="en-GB"/>
        </w:rPr>
        <w:t xml:space="preserve"> that the applicant tried to obtain a change of forename by applying to the prefect in accordance with Article 89 of Presidential Decree no. 396 of 2000, which had entered into force seven months earlier. In the proceedings before the Court the applicant maintained, citing an example from the case-law, that prior to the entry into force of that provision the public prosecutor, who at the time had been responsible for such decisions, had regularly granted requests for a change of forename </w:t>
      </w:r>
      <w:r w:rsidRPr="0025590B" w:rsidR="00B87B5A">
        <w:rPr>
          <w:lang w:val="en-GB"/>
        </w:rPr>
        <w:t>made by</w:t>
      </w:r>
      <w:r w:rsidRPr="0025590B" w:rsidR="00A84E09">
        <w:rPr>
          <w:lang w:val="en-GB"/>
        </w:rPr>
        <w:t xml:space="preserve"> transgender persons, even in the absence of a final court ruling </w:t>
      </w:r>
      <w:r w:rsidRPr="0025590B" w:rsidR="009A2EE5">
        <w:rPr>
          <w:lang w:val="en-GB"/>
        </w:rPr>
        <w:t>ordering</w:t>
      </w:r>
      <w:r w:rsidRPr="0025590B" w:rsidR="00930CE9">
        <w:rPr>
          <w:lang w:val="en-GB"/>
        </w:rPr>
        <w:t xml:space="preserve"> </w:t>
      </w:r>
      <w:r w:rsidRPr="0025590B" w:rsidR="00B87B5A">
        <w:rPr>
          <w:lang w:val="en-GB"/>
        </w:rPr>
        <w:t>the</w:t>
      </w:r>
      <w:r w:rsidRPr="0025590B" w:rsidR="000010DB">
        <w:rPr>
          <w:lang w:val="en-GB"/>
        </w:rPr>
        <w:t xml:space="preserve"> change of</w:t>
      </w:r>
      <w:r w:rsidRPr="0025590B" w:rsidR="00A84E09">
        <w:rPr>
          <w:lang w:val="en-GB"/>
        </w:rPr>
        <w:t xml:space="preserve"> </w:t>
      </w:r>
      <w:r w:rsidRPr="0025590B" w:rsidR="002C78D4">
        <w:rPr>
          <w:lang w:val="en-GB"/>
        </w:rPr>
        <w:t xml:space="preserve">legal </w:t>
      </w:r>
      <w:r w:rsidRPr="0025590B" w:rsidR="00A84E09">
        <w:rPr>
          <w:lang w:val="en-GB"/>
        </w:rPr>
        <w:t>gender</w:t>
      </w:r>
      <w:r w:rsidRPr="0025590B" w:rsidR="00930CE9">
        <w:rPr>
          <w:lang w:val="en-GB"/>
        </w:rPr>
        <w:t xml:space="preserve"> status</w:t>
      </w:r>
      <w:r w:rsidRPr="0025590B" w:rsidR="00A84E09">
        <w:rPr>
          <w:lang w:val="en-GB"/>
        </w:rPr>
        <w:t xml:space="preserve">. By contrast, the applicant stated that she was not aware of any favourable decision taken by a prefect under the new </w:t>
      </w:r>
      <w:r w:rsidRPr="0025590B" w:rsidR="00804EF4">
        <w:rPr>
          <w:lang w:val="en-GB"/>
        </w:rPr>
        <w:t>p</w:t>
      </w:r>
      <w:r w:rsidRPr="0025590B" w:rsidR="00A84E09">
        <w:rPr>
          <w:lang w:val="en-GB"/>
        </w:rPr>
        <w:t>residential decree (no. 396 of 2000).</w:t>
      </w:r>
    </w:p>
    <w:p w:rsidRPr="0025590B" w:rsidR="00A84E09"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43</w:t>
      </w:r>
      <w:r w:rsidRPr="0025590B">
        <w:rPr>
          <w:lang w:val="en-GB"/>
        </w:rPr>
        <w:fldChar w:fldCharType="end"/>
      </w:r>
      <w:r w:rsidRPr="0025590B">
        <w:rPr>
          <w:lang w:val="en-GB"/>
        </w:rPr>
        <w:t>.  </w:t>
      </w:r>
      <w:r w:rsidRPr="0025590B" w:rsidR="00A84E09">
        <w:rPr>
          <w:lang w:val="en-GB"/>
        </w:rPr>
        <w:t xml:space="preserve">As to the Government, the Court notes that they merely argued that an appeal to the </w:t>
      </w:r>
      <w:r w:rsidRPr="0025590B" w:rsidR="00A84E09">
        <w:rPr>
          <w:i/>
          <w:lang w:val="en-GB"/>
        </w:rPr>
        <w:t xml:space="preserve">Consiglio di Stato </w:t>
      </w:r>
      <w:r w:rsidRPr="0025590B" w:rsidR="00A84E09">
        <w:rPr>
          <w:lang w:val="en-GB"/>
        </w:rPr>
        <w:t>constituted a remedy capable of allowing the applicant to obtain redress for the alleged violation. They did not back up this assertion by reference to established case-law or practice.</w:t>
      </w:r>
    </w:p>
    <w:p w:rsidRPr="0025590B" w:rsidR="00A84E09"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44</w:t>
      </w:r>
      <w:r w:rsidRPr="0025590B">
        <w:rPr>
          <w:lang w:val="en-GB"/>
        </w:rPr>
        <w:fldChar w:fldCharType="end"/>
      </w:r>
      <w:r w:rsidRPr="0025590B">
        <w:rPr>
          <w:lang w:val="en-GB"/>
        </w:rPr>
        <w:t>.  </w:t>
      </w:r>
      <w:r w:rsidRPr="0025590B" w:rsidR="00A84E09">
        <w:rPr>
          <w:lang w:val="en-GB"/>
        </w:rPr>
        <w:t xml:space="preserve">Consequently, in view of the information available to it, the Court considers that, while the applicant could expect that her request would be granted when she made it in 2001, given the practice existing prior to the entry into force of the new </w:t>
      </w:r>
      <w:r w:rsidRPr="0025590B" w:rsidR="00804EF4">
        <w:rPr>
          <w:lang w:val="en-GB"/>
        </w:rPr>
        <w:t>p</w:t>
      </w:r>
      <w:r w:rsidRPr="0025590B" w:rsidR="00A84E09">
        <w:rPr>
          <w:lang w:val="en-GB"/>
        </w:rPr>
        <w:t xml:space="preserve">residential </w:t>
      </w:r>
      <w:r w:rsidRPr="0025590B" w:rsidR="00804EF4">
        <w:rPr>
          <w:lang w:val="en-GB"/>
        </w:rPr>
        <w:t>d</w:t>
      </w:r>
      <w:r w:rsidRPr="0025590B" w:rsidR="00A84E09">
        <w:rPr>
          <w:lang w:val="en-GB"/>
        </w:rPr>
        <w:t xml:space="preserve">ecree (no. 396), she could also legitimately infer from the legal context in 2008 that an appeal to the </w:t>
      </w:r>
      <w:r w:rsidRPr="0025590B" w:rsidR="00A84E09">
        <w:rPr>
          <w:i/>
          <w:lang w:val="en-GB"/>
        </w:rPr>
        <w:t xml:space="preserve">Consiglio di Stato </w:t>
      </w:r>
      <w:r w:rsidRPr="0025590B" w:rsidR="00A84E09">
        <w:rPr>
          <w:lang w:val="en-GB"/>
        </w:rPr>
        <w:t>was bound to fail. Accordingly, the Government</w:t>
      </w:r>
      <w:r w:rsidRPr="0025590B" w:rsidR="0025590B">
        <w:rPr>
          <w:lang w:val="en-GB"/>
        </w:rPr>
        <w:t>’</w:t>
      </w:r>
      <w:r w:rsidRPr="0025590B" w:rsidR="00A84E09">
        <w:rPr>
          <w:lang w:val="en-GB"/>
        </w:rPr>
        <w:t>s objection should be dismissed.</w:t>
      </w:r>
    </w:p>
    <w:p w:rsidRPr="0025590B" w:rsidR="007D3980"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45</w:t>
      </w:r>
      <w:r w:rsidRPr="0025590B">
        <w:rPr>
          <w:lang w:val="en-GB"/>
        </w:rPr>
        <w:fldChar w:fldCharType="end"/>
      </w:r>
      <w:r w:rsidRPr="0025590B">
        <w:rPr>
          <w:lang w:val="en-GB"/>
        </w:rPr>
        <w:t>.  </w:t>
      </w:r>
      <w:r w:rsidRPr="0025590B" w:rsidR="007D3980">
        <w:rPr>
          <w:lang w:val="en-GB"/>
        </w:rPr>
        <w:t>The Court further notes that this complaint is not manifestly ill</w:t>
      </w:r>
      <w:r w:rsidRPr="0025590B" w:rsidR="00804EF4">
        <w:rPr>
          <w:lang w:val="en-GB"/>
        </w:rPr>
        <w:noBreakHyphen/>
      </w:r>
      <w:r w:rsidRPr="0025590B" w:rsidR="007D3980">
        <w:rPr>
          <w:lang w:val="en-GB"/>
        </w:rPr>
        <w:t xml:space="preserve">founded within the meaning of Article 35 § 3 </w:t>
      </w:r>
      <w:r w:rsidRPr="0025590B" w:rsidR="004B740D">
        <w:rPr>
          <w:lang w:val="en-GB"/>
        </w:rPr>
        <w:t xml:space="preserve">(a) </w:t>
      </w:r>
      <w:r w:rsidRPr="0025590B" w:rsidR="007D3980">
        <w:rPr>
          <w:lang w:val="en-GB"/>
        </w:rPr>
        <w:t>of the Convention and is not inadmissible on any other grounds. It must therefore be declared admissible.</w:t>
      </w:r>
    </w:p>
    <w:p w:rsidRPr="0025590B" w:rsidR="001962A0" w:rsidP="0025590B" w:rsidRDefault="001962A0">
      <w:pPr>
        <w:pStyle w:val="ECHRHeading2"/>
        <w:rPr>
          <w:lang w:val="en-GB"/>
        </w:rPr>
      </w:pPr>
      <w:r w:rsidRPr="0025590B">
        <w:rPr>
          <w:lang w:val="en-GB"/>
        </w:rPr>
        <w:t>B.  Merits</w:t>
      </w:r>
    </w:p>
    <w:p w:rsidRPr="0025590B" w:rsidR="00684353" w:rsidP="0025590B" w:rsidRDefault="00684353">
      <w:pPr>
        <w:pStyle w:val="ECHRHeading3"/>
        <w:rPr>
          <w:lang w:val="en-GB"/>
        </w:rPr>
      </w:pPr>
      <w:r w:rsidRPr="0025590B">
        <w:rPr>
          <w:lang w:val="en-GB"/>
        </w:rPr>
        <w:t>1.  </w:t>
      </w:r>
      <w:r w:rsidRPr="0025590B" w:rsidR="007D3980">
        <w:rPr>
          <w:lang w:val="en-GB"/>
        </w:rPr>
        <w:t>The parties</w:t>
      </w:r>
      <w:r w:rsidRPr="0025590B" w:rsidR="0025590B">
        <w:rPr>
          <w:lang w:val="en-GB"/>
        </w:rPr>
        <w:t>’</w:t>
      </w:r>
      <w:r w:rsidRPr="0025590B" w:rsidR="007D3980">
        <w:rPr>
          <w:lang w:val="en-GB"/>
        </w:rPr>
        <w:t xml:space="preserve"> submissions</w:t>
      </w:r>
    </w:p>
    <w:p w:rsidRPr="0025590B" w:rsidR="00803864"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46</w:t>
      </w:r>
      <w:r w:rsidRPr="0025590B">
        <w:rPr>
          <w:lang w:val="en-GB"/>
        </w:rPr>
        <w:fldChar w:fldCharType="end"/>
      </w:r>
      <w:r w:rsidRPr="0025590B">
        <w:rPr>
          <w:lang w:val="en-GB"/>
        </w:rPr>
        <w:t>.  </w:t>
      </w:r>
      <w:r w:rsidRPr="0025590B" w:rsidR="005451BE">
        <w:rPr>
          <w:lang w:val="en-GB"/>
        </w:rPr>
        <w:t>The applicant submitted that the national authorities</w:t>
      </w:r>
      <w:r w:rsidRPr="0025590B" w:rsidR="0025590B">
        <w:rPr>
          <w:lang w:val="en-GB"/>
        </w:rPr>
        <w:t>’</w:t>
      </w:r>
      <w:r w:rsidRPr="0025590B" w:rsidR="005451BE">
        <w:rPr>
          <w:lang w:val="en-GB"/>
        </w:rPr>
        <w:t xml:space="preserve"> refusal to allow her to change her forename before her gender reassignment surgery had breached her right to respect for her private life.</w:t>
      </w:r>
    </w:p>
    <w:p w:rsidRPr="0025590B" w:rsidR="005451BE"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47</w:t>
      </w:r>
      <w:r w:rsidRPr="0025590B">
        <w:rPr>
          <w:lang w:val="en-GB"/>
        </w:rPr>
        <w:fldChar w:fldCharType="end"/>
      </w:r>
      <w:r w:rsidRPr="0025590B">
        <w:rPr>
          <w:lang w:val="en-GB"/>
        </w:rPr>
        <w:t>.  </w:t>
      </w:r>
      <w:r w:rsidRPr="0025590B" w:rsidR="005451BE">
        <w:rPr>
          <w:lang w:val="en-GB"/>
        </w:rPr>
        <w:t>In its judgment of 10 May 2001 the Rome District Court had officially recognised her as being transgender. As a result, her right to respect for her gender identity should have been protected despite the fact that the gender reassignment process had not yet been concluded by means of surgery. In the applicant</w:t>
      </w:r>
      <w:r w:rsidRPr="0025590B" w:rsidR="0025590B">
        <w:rPr>
          <w:lang w:val="en-GB"/>
        </w:rPr>
        <w:t>’</w:t>
      </w:r>
      <w:r w:rsidRPr="0025590B" w:rsidR="005451BE">
        <w:rPr>
          <w:lang w:val="en-GB"/>
        </w:rPr>
        <w:t xml:space="preserve">s view, the Government </w:t>
      </w:r>
      <w:r w:rsidRPr="0025590B" w:rsidR="003C574A">
        <w:rPr>
          <w:lang w:val="en-GB"/>
        </w:rPr>
        <w:t>were</w:t>
      </w:r>
      <w:r w:rsidRPr="0025590B" w:rsidR="005451BE">
        <w:rPr>
          <w:lang w:val="en-GB"/>
        </w:rPr>
        <w:t xml:space="preserve"> wrong to invoke the margin of appreciation available to States in this </w:t>
      </w:r>
      <w:r w:rsidRPr="0025590B" w:rsidR="00BE2488">
        <w:rPr>
          <w:lang w:val="en-GB"/>
        </w:rPr>
        <w:t>regard</w:t>
      </w:r>
      <w:r w:rsidRPr="0025590B" w:rsidR="005451BE">
        <w:rPr>
          <w:lang w:val="en-GB"/>
        </w:rPr>
        <w:t xml:space="preserve">, as the national system had been applied rigidly although Law no. 164 of 1982 made no mention of surgery as one of the conditions in order for transgender persons to obtain recognition of their gender identity. The authorities had interpreted the national legislation restrictively and had thus failed to fulfil the positive obligations inherent in respect for Article 8 </w:t>
      </w:r>
      <w:r w:rsidRPr="0025590B" w:rsidR="00BE2488">
        <w:rPr>
          <w:lang w:val="en-GB"/>
        </w:rPr>
        <w:t>of the Convention</w:t>
      </w:r>
      <w:r w:rsidRPr="0025590B" w:rsidR="005451BE">
        <w:rPr>
          <w:lang w:val="en-GB"/>
        </w:rPr>
        <w:t>.</w:t>
      </w:r>
    </w:p>
    <w:p w:rsidRPr="0025590B" w:rsidR="005451BE"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48</w:t>
      </w:r>
      <w:r w:rsidRPr="0025590B">
        <w:rPr>
          <w:lang w:val="en-GB"/>
        </w:rPr>
        <w:fldChar w:fldCharType="end"/>
      </w:r>
      <w:r w:rsidRPr="0025590B">
        <w:rPr>
          <w:lang w:val="en-GB"/>
        </w:rPr>
        <w:t>.  </w:t>
      </w:r>
      <w:r w:rsidRPr="0025590B" w:rsidR="005451BE">
        <w:rPr>
          <w:lang w:val="en-GB"/>
        </w:rPr>
        <w:t xml:space="preserve">In her observations the applicant </w:t>
      </w:r>
      <w:r w:rsidRPr="0025590B" w:rsidR="003C574A">
        <w:rPr>
          <w:lang w:val="en-GB"/>
        </w:rPr>
        <w:t>also specified</w:t>
      </w:r>
      <w:r w:rsidRPr="0025590B" w:rsidR="005451BE">
        <w:rPr>
          <w:lang w:val="en-GB"/>
        </w:rPr>
        <w:t xml:space="preserve"> that </w:t>
      </w:r>
      <w:r w:rsidRPr="0025590B" w:rsidR="00BE2488">
        <w:rPr>
          <w:lang w:val="en-GB"/>
        </w:rPr>
        <w:t xml:space="preserve">her </w:t>
      </w:r>
      <w:r w:rsidRPr="0025590B" w:rsidR="005451BE">
        <w:rPr>
          <w:lang w:val="en-GB"/>
        </w:rPr>
        <w:t>complaints related solely to the authorit</w:t>
      </w:r>
      <w:r w:rsidRPr="0025590B" w:rsidR="00FC08EA">
        <w:rPr>
          <w:lang w:val="en-GB"/>
        </w:rPr>
        <w:t>ie</w:t>
      </w:r>
      <w:r w:rsidRPr="0025590B" w:rsidR="005451BE">
        <w:rPr>
          <w:lang w:val="en-GB"/>
        </w:rPr>
        <w:t>s</w:t>
      </w:r>
      <w:r w:rsidRPr="0025590B" w:rsidR="0025590B">
        <w:rPr>
          <w:lang w:val="en-GB"/>
        </w:rPr>
        <w:t>’</w:t>
      </w:r>
      <w:r w:rsidRPr="0025590B" w:rsidR="005451BE">
        <w:rPr>
          <w:lang w:val="en-GB"/>
        </w:rPr>
        <w:t xml:space="preserve"> refusal to allow her to change her forename and did not call into question the decision-making process concerning</w:t>
      </w:r>
      <w:r w:rsidRPr="0025590B" w:rsidR="00930CE9">
        <w:rPr>
          <w:lang w:val="en-GB"/>
        </w:rPr>
        <w:t xml:space="preserve"> changes to</w:t>
      </w:r>
      <w:r w:rsidRPr="0025590B" w:rsidR="005451BE">
        <w:rPr>
          <w:lang w:val="en-GB"/>
        </w:rPr>
        <w:t xml:space="preserve"> </w:t>
      </w:r>
      <w:r w:rsidRPr="0025590B" w:rsidR="00637F7A">
        <w:rPr>
          <w:lang w:val="en-GB"/>
        </w:rPr>
        <w:t>legal gender</w:t>
      </w:r>
      <w:r w:rsidRPr="0025590B" w:rsidR="00BE2488">
        <w:rPr>
          <w:lang w:val="en-GB"/>
        </w:rPr>
        <w:t xml:space="preserve"> </w:t>
      </w:r>
      <w:r w:rsidRPr="0025590B" w:rsidR="00930CE9">
        <w:rPr>
          <w:lang w:val="en-GB"/>
        </w:rPr>
        <w:t>status</w:t>
      </w:r>
      <w:r w:rsidRPr="0025590B" w:rsidR="00FC08EA">
        <w:rPr>
          <w:lang w:val="en-GB"/>
        </w:rPr>
        <w:t>.</w:t>
      </w:r>
    </w:p>
    <w:p w:rsidRPr="0025590B" w:rsidR="00FC08EA"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49</w:t>
      </w:r>
      <w:r w:rsidRPr="0025590B">
        <w:rPr>
          <w:lang w:val="en-GB"/>
        </w:rPr>
        <w:fldChar w:fldCharType="end"/>
      </w:r>
      <w:r w:rsidRPr="0025590B">
        <w:rPr>
          <w:lang w:val="en-GB"/>
        </w:rPr>
        <w:t>.  </w:t>
      </w:r>
      <w:r w:rsidRPr="0025590B" w:rsidR="003C574A">
        <w:rPr>
          <w:lang w:val="en-GB"/>
        </w:rPr>
        <w:t>The Government replied that in seeking a change of forename</w:t>
      </w:r>
      <w:r w:rsidRPr="0025590B" w:rsidR="00FC08EA">
        <w:rPr>
          <w:lang w:val="en-GB"/>
        </w:rPr>
        <w:t xml:space="preserve"> the applicant</w:t>
      </w:r>
      <w:r w:rsidRPr="0025590B" w:rsidR="0025590B">
        <w:rPr>
          <w:lang w:val="en-GB"/>
        </w:rPr>
        <w:t>’</w:t>
      </w:r>
      <w:r w:rsidRPr="0025590B" w:rsidR="00FC08EA">
        <w:rPr>
          <w:lang w:val="en-GB"/>
        </w:rPr>
        <w:t xml:space="preserve">s sole aim had been to have her </w:t>
      </w:r>
      <w:r w:rsidRPr="0025590B" w:rsidR="00C932B0">
        <w:rPr>
          <w:lang w:val="en-GB"/>
        </w:rPr>
        <w:t xml:space="preserve">new </w:t>
      </w:r>
      <w:r w:rsidRPr="0025590B" w:rsidR="00FC08EA">
        <w:rPr>
          <w:lang w:val="en-GB"/>
        </w:rPr>
        <w:t xml:space="preserve">gender identity recognised without undergoing surgery, in breach of the legislative provisions in force. Italian positive law allowed transgender persons to </w:t>
      </w:r>
      <w:r w:rsidRPr="0025590B" w:rsidR="00CD2C33">
        <w:rPr>
          <w:lang w:val="en-GB"/>
        </w:rPr>
        <w:t>have</w:t>
      </w:r>
      <w:r w:rsidRPr="0025590B" w:rsidR="00FC08EA">
        <w:rPr>
          <w:lang w:val="en-GB"/>
        </w:rPr>
        <w:t xml:space="preserve"> their forenames </w:t>
      </w:r>
      <w:r w:rsidRPr="0025590B" w:rsidR="00CD2C33">
        <w:rPr>
          <w:lang w:val="en-GB"/>
        </w:rPr>
        <w:t xml:space="preserve">corrected </w:t>
      </w:r>
      <w:r w:rsidRPr="0025590B" w:rsidR="00FC08EA">
        <w:rPr>
          <w:lang w:val="en-GB"/>
        </w:rPr>
        <w:t xml:space="preserve">only after the authorities had </w:t>
      </w:r>
      <w:r w:rsidRPr="0025590B" w:rsidR="003C574A">
        <w:rPr>
          <w:lang w:val="en-GB"/>
        </w:rPr>
        <w:t>assessed</w:t>
      </w:r>
      <w:r w:rsidRPr="0025590B" w:rsidR="00FC08EA">
        <w:rPr>
          <w:lang w:val="en-GB"/>
        </w:rPr>
        <w:t xml:space="preserve"> their true psychological state and </w:t>
      </w:r>
      <w:r w:rsidRPr="0025590B" w:rsidR="00CD2C33">
        <w:rPr>
          <w:lang w:val="en-GB"/>
        </w:rPr>
        <w:t xml:space="preserve">their </w:t>
      </w:r>
      <w:r w:rsidRPr="0025590B" w:rsidR="00FC08EA">
        <w:rPr>
          <w:lang w:val="en-GB"/>
        </w:rPr>
        <w:t xml:space="preserve">behaviour. The </w:t>
      </w:r>
      <w:r w:rsidRPr="0025590B" w:rsidR="00B87B5A">
        <w:rPr>
          <w:lang w:val="en-GB"/>
        </w:rPr>
        <w:t xml:space="preserve">records </w:t>
      </w:r>
      <w:r w:rsidRPr="0025590B" w:rsidR="00CD2C33">
        <w:rPr>
          <w:lang w:val="en-GB"/>
        </w:rPr>
        <w:t>concerning</w:t>
      </w:r>
      <w:r w:rsidRPr="0025590B" w:rsidR="00B87B5A">
        <w:rPr>
          <w:lang w:val="en-GB"/>
        </w:rPr>
        <w:t xml:space="preserve"> the </w:t>
      </w:r>
      <w:r w:rsidRPr="0025590B" w:rsidR="00FC08EA">
        <w:rPr>
          <w:lang w:val="en-GB"/>
        </w:rPr>
        <w:t>applicant</w:t>
      </w:r>
      <w:r w:rsidRPr="0025590B" w:rsidR="0025590B">
        <w:rPr>
          <w:lang w:val="en-GB"/>
        </w:rPr>
        <w:t>’</w:t>
      </w:r>
      <w:r w:rsidRPr="0025590B" w:rsidR="00FC08EA">
        <w:rPr>
          <w:lang w:val="en-GB"/>
        </w:rPr>
        <w:t>s forename and gender had been corrected in 2003 after she had completed the transition process by undergoing the surgery authorised by the District Court.</w:t>
      </w:r>
      <w:r w:rsidRPr="0025590B" w:rsidR="00CD2C33">
        <w:rPr>
          <w:lang w:val="en-GB"/>
        </w:rPr>
        <w:t xml:space="preserve"> Hence, the authorities had complied with the relevant statutory provisions in force at the relevant time and had enabled the applicant to have her </w:t>
      </w:r>
      <w:r w:rsidRPr="0025590B" w:rsidR="00C932B0">
        <w:rPr>
          <w:lang w:val="en-GB"/>
        </w:rPr>
        <w:t xml:space="preserve">new </w:t>
      </w:r>
      <w:r w:rsidRPr="0025590B" w:rsidR="00CD2C33">
        <w:rPr>
          <w:lang w:val="en-GB"/>
        </w:rPr>
        <w:t>gender identity recognised.</w:t>
      </w:r>
    </w:p>
    <w:p w:rsidRPr="0025590B" w:rsidR="001F46CB" w:rsidP="0025590B" w:rsidRDefault="00684353">
      <w:pPr>
        <w:pStyle w:val="ECHRPara"/>
        <w:keepNext/>
        <w:keepLines/>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50</w:t>
      </w:r>
      <w:r w:rsidRPr="0025590B">
        <w:rPr>
          <w:lang w:val="en-GB"/>
        </w:rPr>
        <w:fldChar w:fldCharType="end"/>
      </w:r>
      <w:r w:rsidRPr="0025590B">
        <w:rPr>
          <w:lang w:val="en-GB"/>
        </w:rPr>
        <w:t>.  </w:t>
      </w:r>
      <w:r w:rsidRPr="0025590B" w:rsidR="001F46CB">
        <w:rPr>
          <w:lang w:val="en-GB"/>
        </w:rPr>
        <w:t>Lastly, the Government argued that Law no. 164 of 1982 laid down a procedure apt to ensure respect for each individual</w:t>
      </w:r>
      <w:r w:rsidRPr="0025590B" w:rsidR="0025590B">
        <w:rPr>
          <w:lang w:val="en-GB"/>
        </w:rPr>
        <w:t>’</w:t>
      </w:r>
      <w:r w:rsidRPr="0025590B" w:rsidR="001F46CB">
        <w:rPr>
          <w:lang w:val="en-GB"/>
        </w:rPr>
        <w:t>s gender identity, thus enabling transgender persons to have their civil</w:t>
      </w:r>
      <w:r w:rsidRPr="0025590B" w:rsidR="002C7EC3">
        <w:rPr>
          <w:lang w:val="en-GB"/>
        </w:rPr>
        <w:t>-</w:t>
      </w:r>
      <w:r w:rsidRPr="0025590B" w:rsidR="001F46CB">
        <w:rPr>
          <w:lang w:val="en-GB"/>
        </w:rPr>
        <w:t>status</w:t>
      </w:r>
      <w:r w:rsidRPr="0025590B" w:rsidR="002C7EC3">
        <w:rPr>
          <w:lang w:val="en-GB"/>
        </w:rPr>
        <w:t xml:space="preserve"> records</w:t>
      </w:r>
      <w:r w:rsidRPr="0025590B" w:rsidR="00257CF2">
        <w:rPr>
          <w:lang w:val="en-GB"/>
        </w:rPr>
        <w:t xml:space="preserve"> </w:t>
      </w:r>
      <w:r w:rsidRPr="0025590B" w:rsidR="001F46CB">
        <w:rPr>
          <w:lang w:val="en-GB"/>
        </w:rPr>
        <w:t>amended.</w:t>
      </w:r>
      <w:r w:rsidRPr="0025590B" w:rsidR="009F2520">
        <w:rPr>
          <w:lang w:val="en-GB"/>
        </w:rPr>
        <w:t xml:space="preserve"> Hence, the present case could not be likened to </w:t>
      </w:r>
      <w:r w:rsidRPr="0025590B" w:rsidR="00BA1DAF">
        <w:rPr>
          <w:lang w:val="en-GB"/>
        </w:rPr>
        <w:t>cases</w:t>
      </w:r>
      <w:r w:rsidRPr="0025590B" w:rsidR="009F2520">
        <w:rPr>
          <w:lang w:val="en-GB"/>
        </w:rPr>
        <w:t xml:space="preserve"> in which States restricted the rights guaranteed by Article 8 of the Convention by refusing to recognise the</w:t>
      </w:r>
      <w:r w:rsidRPr="0025590B" w:rsidR="00C932B0">
        <w:rPr>
          <w:lang w:val="en-GB"/>
        </w:rPr>
        <w:t xml:space="preserve"> new</w:t>
      </w:r>
      <w:r w:rsidRPr="0025590B" w:rsidR="009F2520">
        <w:rPr>
          <w:lang w:val="en-GB"/>
        </w:rPr>
        <w:t xml:space="preserve"> gender identity of persons who had undergone </w:t>
      </w:r>
      <w:r w:rsidRPr="0025590B" w:rsidR="00BE2488">
        <w:rPr>
          <w:lang w:val="en-GB"/>
        </w:rPr>
        <w:t>gender reassignment</w:t>
      </w:r>
      <w:r w:rsidRPr="0025590B" w:rsidR="009F2520">
        <w:rPr>
          <w:lang w:val="en-GB"/>
        </w:rPr>
        <w:t xml:space="preserve"> surgery.</w:t>
      </w:r>
    </w:p>
    <w:p w:rsidRPr="0025590B" w:rsidR="00684353" w:rsidP="0025590B" w:rsidRDefault="00684353">
      <w:pPr>
        <w:pStyle w:val="ECHRHeading3"/>
        <w:rPr>
          <w:lang w:val="en-GB"/>
        </w:rPr>
      </w:pPr>
      <w:r w:rsidRPr="0025590B">
        <w:rPr>
          <w:lang w:val="en-GB"/>
        </w:rPr>
        <w:t>2.  </w:t>
      </w:r>
      <w:r w:rsidRPr="0025590B" w:rsidR="00BA1DAF">
        <w:rPr>
          <w:lang w:val="en-GB"/>
        </w:rPr>
        <w:t>Observations of the third-party interveners</w:t>
      </w:r>
    </w:p>
    <w:p w:rsidRPr="0025590B" w:rsidR="0025590B"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51</w:t>
      </w:r>
      <w:r w:rsidRPr="0025590B">
        <w:rPr>
          <w:lang w:val="en-GB"/>
        </w:rPr>
        <w:fldChar w:fldCharType="end"/>
      </w:r>
      <w:r w:rsidRPr="0025590B">
        <w:rPr>
          <w:lang w:val="en-GB"/>
        </w:rPr>
        <w:t>.  </w:t>
      </w:r>
      <w:r w:rsidRPr="0025590B" w:rsidR="00BA1DAF">
        <w:rPr>
          <w:lang w:val="en-GB"/>
        </w:rPr>
        <w:t xml:space="preserve">The organisations </w:t>
      </w:r>
      <w:r w:rsidRPr="0025590B">
        <w:rPr>
          <w:lang w:val="en-GB"/>
        </w:rPr>
        <w:t xml:space="preserve">Alliance Defending Freedom </w:t>
      </w:r>
      <w:r w:rsidRPr="0025590B" w:rsidR="00BA1DAF">
        <w:rPr>
          <w:lang w:val="en-GB"/>
        </w:rPr>
        <w:t>and</w:t>
      </w:r>
      <w:r w:rsidRPr="0025590B">
        <w:rPr>
          <w:lang w:val="en-GB"/>
        </w:rPr>
        <w:t xml:space="preserve"> </w:t>
      </w:r>
      <w:r w:rsidRPr="0025590B">
        <w:rPr>
          <w:i/>
          <w:lang w:val="en-GB"/>
        </w:rPr>
        <w:t>Unione Giuristi Cattolici Italiani</w:t>
      </w:r>
      <w:r w:rsidRPr="0025590B">
        <w:rPr>
          <w:lang w:val="en-GB"/>
        </w:rPr>
        <w:t xml:space="preserve">, </w:t>
      </w:r>
      <w:r w:rsidRPr="0025590B" w:rsidR="00BA1DAF">
        <w:rPr>
          <w:lang w:val="en-GB"/>
        </w:rPr>
        <w:t xml:space="preserve">third-party interveners, stated that the special rules laid down by Law no. 164 of 1982 </w:t>
      </w:r>
      <w:r w:rsidRPr="0025590B" w:rsidR="00C932B0">
        <w:rPr>
          <w:lang w:val="en-GB"/>
        </w:rPr>
        <w:t>concerning</w:t>
      </w:r>
      <w:r w:rsidRPr="0025590B" w:rsidR="00BA1DAF">
        <w:rPr>
          <w:lang w:val="en-GB"/>
        </w:rPr>
        <w:t xml:space="preserve"> the </w:t>
      </w:r>
      <w:r w:rsidRPr="0025590B" w:rsidR="00FA63F2">
        <w:rPr>
          <w:lang w:val="en-GB"/>
        </w:rPr>
        <w:t>amendment of the civil</w:t>
      </w:r>
      <w:r w:rsidRPr="0025590B" w:rsidR="002C7EC3">
        <w:rPr>
          <w:lang w:val="en-GB"/>
        </w:rPr>
        <w:t>-</w:t>
      </w:r>
      <w:r w:rsidRPr="0025590B" w:rsidR="00BA1DAF">
        <w:rPr>
          <w:lang w:val="en-GB"/>
        </w:rPr>
        <w:t xml:space="preserve">status </w:t>
      </w:r>
      <w:r w:rsidRPr="0025590B" w:rsidR="002C7EC3">
        <w:rPr>
          <w:lang w:val="en-GB"/>
        </w:rPr>
        <w:t xml:space="preserve">records </w:t>
      </w:r>
      <w:r w:rsidRPr="0025590B" w:rsidR="00BA1DAF">
        <w:rPr>
          <w:lang w:val="en-GB"/>
        </w:rPr>
        <w:t xml:space="preserve">of transgender persons did not </w:t>
      </w:r>
      <w:r w:rsidRPr="0025590B" w:rsidR="001D002C">
        <w:rPr>
          <w:lang w:val="en-GB"/>
        </w:rPr>
        <w:t>provide for</w:t>
      </w:r>
      <w:r w:rsidRPr="0025590B" w:rsidR="00BA1DAF">
        <w:rPr>
          <w:lang w:val="en-GB"/>
        </w:rPr>
        <w:t xml:space="preserve"> surgery as a </w:t>
      </w:r>
      <w:r w:rsidRPr="0025590B" w:rsidR="001D002C">
        <w:rPr>
          <w:lang w:val="en-GB"/>
        </w:rPr>
        <w:t>prerequisite</w:t>
      </w:r>
      <w:r w:rsidRPr="0025590B" w:rsidR="00816456">
        <w:rPr>
          <w:lang w:val="en-GB"/>
        </w:rPr>
        <w:t>, but simply as one of the options that might be advocated in the context of an individual</w:t>
      </w:r>
      <w:r w:rsidRPr="0025590B" w:rsidR="0025590B">
        <w:rPr>
          <w:lang w:val="en-GB"/>
        </w:rPr>
        <w:t>’</w:t>
      </w:r>
      <w:r w:rsidRPr="0025590B" w:rsidR="00816456">
        <w:rPr>
          <w:lang w:val="en-GB"/>
        </w:rPr>
        <w:t xml:space="preserve">s gender transition. </w:t>
      </w:r>
      <w:r w:rsidRPr="0025590B" w:rsidR="00FA63F2">
        <w:rPr>
          <w:lang w:val="en-GB"/>
        </w:rPr>
        <w:t>It</w:t>
      </w:r>
      <w:r w:rsidRPr="0025590B" w:rsidR="00816456">
        <w:rPr>
          <w:lang w:val="en-GB"/>
        </w:rPr>
        <w:t xml:space="preserve"> was</w:t>
      </w:r>
      <w:r w:rsidRPr="0025590B" w:rsidR="00FA63F2">
        <w:rPr>
          <w:lang w:val="en-GB"/>
        </w:rPr>
        <w:t xml:space="preserve"> therefore</w:t>
      </w:r>
      <w:r w:rsidRPr="0025590B" w:rsidR="00816456">
        <w:rPr>
          <w:lang w:val="en-GB"/>
        </w:rPr>
        <w:t xml:space="preserve"> for the domestic judicial authorities to determine the issue on a case-by-case basis.</w:t>
      </w:r>
    </w:p>
    <w:p w:rsidRPr="0025590B" w:rsidR="00816456"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52</w:t>
      </w:r>
      <w:r w:rsidRPr="0025590B">
        <w:rPr>
          <w:lang w:val="en-GB"/>
        </w:rPr>
        <w:fldChar w:fldCharType="end"/>
      </w:r>
      <w:r w:rsidRPr="0025590B">
        <w:rPr>
          <w:lang w:val="en-GB"/>
        </w:rPr>
        <w:t>.  </w:t>
      </w:r>
      <w:r w:rsidRPr="0025590B" w:rsidR="00816456">
        <w:rPr>
          <w:lang w:val="en-GB"/>
        </w:rPr>
        <w:t>In the view of the third-party interveners, the fact of preventing States from establishing objective criteria to be taken into consideration in procedures of this kind amounted to granting individuals powers of self</w:t>
      </w:r>
      <w:r w:rsidRPr="0025590B" w:rsidR="00E91685">
        <w:rPr>
          <w:lang w:val="en-GB"/>
        </w:rPr>
        <w:noBreakHyphen/>
      </w:r>
      <w:r w:rsidRPr="0025590B" w:rsidR="00816456">
        <w:rPr>
          <w:lang w:val="en-GB"/>
        </w:rPr>
        <w:t>determination that were incompatible with the interests of others.</w:t>
      </w:r>
    </w:p>
    <w:p w:rsidRPr="0025590B" w:rsidR="00816456"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53</w:t>
      </w:r>
      <w:r w:rsidRPr="0025590B">
        <w:rPr>
          <w:lang w:val="en-GB"/>
        </w:rPr>
        <w:fldChar w:fldCharType="end"/>
      </w:r>
      <w:r w:rsidRPr="0025590B">
        <w:rPr>
          <w:lang w:val="en-GB"/>
        </w:rPr>
        <w:t>.  </w:t>
      </w:r>
      <w:r w:rsidRPr="0025590B" w:rsidR="00816456">
        <w:rPr>
          <w:lang w:val="en-GB"/>
        </w:rPr>
        <w:t>The Court</w:t>
      </w:r>
      <w:r w:rsidRPr="0025590B" w:rsidR="0025590B">
        <w:rPr>
          <w:lang w:val="en-GB"/>
        </w:rPr>
        <w:t>’</w:t>
      </w:r>
      <w:r w:rsidRPr="0025590B" w:rsidR="00816456">
        <w:rPr>
          <w:lang w:val="en-GB"/>
        </w:rPr>
        <w:t>s case-law concerning the recognition of gender identity focused on the lawfulness of the restrictions placed on it, and the Court had consistently held th</w:t>
      </w:r>
      <w:r w:rsidRPr="0025590B" w:rsidR="008A7A99">
        <w:rPr>
          <w:lang w:val="en-GB"/>
        </w:rPr>
        <w:t>a</w:t>
      </w:r>
      <w:r w:rsidRPr="0025590B" w:rsidR="00816456">
        <w:rPr>
          <w:lang w:val="en-GB"/>
        </w:rPr>
        <w:t xml:space="preserve">t it was for States to define the mechanisms for recognition while taking </w:t>
      </w:r>
      <w:r w:rsidRPr="0025590B" w:rsidR="008A7A99">
        <w:rPr>
          <w:lang w:val="en-GB"/>
        </w:rPr>
        <w:t xml:space="preserve">into consideration the different interests at stake. This raised fundamental issues of definition with ramifications in the spheres of ethics, psychology and medical science, and in </w:t>
      </w:r>
      <w:r w:rsidRPr="0025590B" w:rsidR="003B2BDD">
        <w:rPr>
          <w:lang w:val="en-GB"/>
        </w:rPr>
        <w:t>relation to</w:t>
      </w:r>
      <w:r w:rsidRPr="0025590B" w:rsidR="008A7A99">
        <w:rPr>
          <w:lang w:val="en-GB"/>
        </w:rPr>
        <w:t xml:space="preserve"> which States had to be afforded a wide discretion. The response to transgender issues varied from one State to another depending on the specific features of the domestic environment, and each State defined rules aimed at striking a balance between the competing private and public interests within the country. In the third-party interveners</w:t>
      </w:r>
      <w:r w:rsidRPr="0025590B" w:rsidR="0025590B">
        <w:rPr>
          <w:lang w:val="en-GB"/>
        </w:rPr>
        <w:t>’</w:t>
      </w:r>
      <w:r w:rsidRPr="0025590B" w:rsidR="008A7A99">
        <w:rPr>
          <w:lang w:val="en-GB"/>
        </w:rPr>
        <w:t xml:space="preserve"> view, </w:t>
      </w:r>
      <w:r w:rsidRPr="0025590B" w:rsidR="003B2BDD">
        <w:rPr>
          <w:lang w:val="en-GB"/>
        </w:rPr>
        <w:t xml:space="preserve">this approach was supported </w:t>
      </w:r>
      <w:r w:rsidRPr="0025590B" w:rsidR="00FC6244">
        <w:t>by the widely diverging legal options chosen by the member States regarding this issue</w:t>
      </w:r>
      <w:r w:rsidRPr="0025590B" w:rsidR="008A7A99">
        <w:rPr>
          <w:lang w:val="en-GB"/>
        </w:rPr>
        <w:t>.</w:t>
      </w:r>
    </w:p>
    <w:p w:rsidRPr="0025590B" w:rsidR="00684353" w:rsidP="0025590B" w:rsidRDefault="00684353">
      <w:pPr>
        <w:pStyle w:val="ECHRHeading3"/>
        <w:rPr>
          <w:lang w:val="en-GB"/>
        </w:rPr>
      </w:pPr>
      <w:r w:rsidRPr="0025590B">
        <w:rPr>
          <w:lang w:val="en-GB"/>
        </w:rPr>
        <w:t>3.  </w:t>
      </w:r>
      <w:r w:rsidRPr="0025590B" w:rsidR="008A7A99">
        <w:rPr>
          <w:lang w:val="en-GB"/>
        </w:rPr>
        <w:t>The Court</w:t>
      </w:r>
      <w:r w:rsidRPr="0025590B" w:rsidR="0025590B">
        <w:rPr>
          <w:lang w:val="en-GB"/>
        </w:rPr>
        <w:t>’</w:t>
      </w:r>
      <w:r w:rsidRPr="0025590B" w:rsidR="008A7A99">
        <w:rPr>
          <w:lang w:val="en-GB"/>
        </w:rPr>
        <w:t>s assessment</w:t>
      </w:r>
    </w:p>
    <w:p w:rsidRPr="0025590B" w:rsidR="00684353" w:rsidP="0025590B" w:rsidRDefault="008A7A99">
      <w:pPr>
        <w:pStyle w:val="ECHRHeading4"/>
        <w:rPr>
          <w:rFonts w:eastAsiaTheme="minorHAnsi"/>
          <w:lang w:val="en-GB"/>
        </w:rPr>
      </w:pPr>
      <w:r w:rsidRPr="0025590B">
        <w:rPr>
          <w:rFonts w:eastAsiaTheme="minorHAnsi"/>
          <w:lang w:val="en-GB"/>
        </w:rPr>
        <w:t>(</w:t>
      </w:r>
      <w:r w:rsidRPr="0025590B" w:rsidR="00684353">
        <w:rPr>
          <w:rFonts w:eastAsiaTheme="minorHAnsi"/>
          <w:lang w:val="en-GB"/>
        </w:rPr>
        <w:t>a)  </w:t>
      </w:r>
      <w:r w:rsidRPr="0025590B">
        <w:rPr>
          <w:rFonts w:eastAsiaTheme="minorHAnsi"/>
          <w:lang w:val="en-GB"/>
        </w:rPr>
        <w:t>Applicability of A</w:t>
      </w:r>
      <w:r w:rsidRPr="0025590B" w:rsidR="00684353">
        <w:rPr>
          <w:rFonts w:eastAsiaTheme="minorHAnsi"/>
          <w:lang w:val="en-GB"/>
        </w:rPr>
        <w:t xml:space="preserve">rticle 8 </w:t>
      </w:r>
      <w:r w:rsidRPr="0025590B">
        <w:rPr>
          <w:rFonts w:eastAsiaTheme="minorHAnsi"/>
          <w:lang w:val="en-GB"/>
        </w:rPr>
        <w:t>of the</w:t>
      </w:r>
      <w:r w:rsidRPr="0025590B" w:rsidR="00684353">
        <w:rPr>
          <w:rFonts w:eastAsiaTheme="minorHAnsi"/>
          <w:lang w:val="en-GB"/>
        </w:rPr>
        <w:t xml:space="preserve"> Convention</w:t>
      </w:r>
    </w:p>
    <w:p w:rsidRPr="0025590B" w:rsidR="008A7A99" w:rsidP="0025590B" w:rsidRDefault="00684353">
      <w:pPr>
        <w:pStyle w:val="ECHRPara"/>
        <w:keepNext/>
        <w:keepLines/>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54</w:t>
      </w:r>
      <w:r w:rsidRPr="0025590B">
        <w:rPr>
          <w:lang w:val="en-GB"/>
        </w:rPr>
        <w:fldChar w:fldCharType="end"/>
      </w:r>
      <w:r w:rsidRPr="0025590B">
        <w:rPr>
          <w:lang w:val="en-GB"/>
        </w:rPr>
        <w:t>.  </w:t>
      </w:r>
      <w:r w:rsidRPr="0025590B" w:rsidR="008A7A99">
        <w:rPr>
          <w:lang w:val="en-GB"/>
        </w:rPr>
        <w:t>The Court reiterates that the concept of “private life” is a broad term not susceptible to exhaustive definition. It includes not only a person</w:t>
      </w:r>
      <w:r w:rsidRPr="0025590B" w:rsidR="0025590B">
        <w:rPr>
          <w:lang w:val="en-GB"/>
        </w:rPr>
        <w:t>’</w:t>
      </w:r>
      <w:r w:rsidRPr="0025590B" w:rsidR="008A7A99">
        <w:rPr>
          <w:lang w:val="en-GB"/>
        </w:rPr>
        <w:t>s physical and psychological integrity, but can sometimes also embrace aspects of an individual</w:t>
      </w:r>
      <w:r w:rsidRPr="0025590B" w:rsidR="0025590B">
        <w:rPr>
          <w:lang w:val="en-GB"/>
        </w:rPr>
        <w:t>’</w:t>
      </w:r>
      <w:r w:rsidRPr="0025590B" w:rsidR="008A7A99">
        <w:rPr>
          <w:lang w:val="en-GB"/>
        </w:rPr>
        <w:t xml:space="preserve">s physical and social identity. Elements such as gender identity or identification, names, sexual orientation and sexual life fall within the personal sphere protected by Article 8 of the Convention (see, in particular, </w:t>
      </w:r>
      <w:r w:rsidRPr="0025590B" w:rsidR="008A7A99">
        <w:rPr>
          <w:i/>
          <w:lang w:val="en-GB"/>
        </w:rPr>
        <w:t>Van Kück v. Germany</w:t>
      </w:r>
      <w:r w:rsidRPr="0025590B" w:rsidR="008A7A99">
        <w:rPr>
          <w:lang w:val="en-GB"/>
        </w:rPr>
        <w:t>, no. 35968/97, § 69, ECHR</w:t>
      </w:r>
      <w:r w:rsidRPr="0025590B" w:rsidR="00E91685">
        <w:rPr>
          <w:lang w:val="en-GB"/>
        </w:rPr>
        <w:t> </w:t>
      </w:r>
      <w:r w:rsidRPr="0025590B" w:rsidR="008A7A99">
        <w:rPr>
          <w:lang w:val="en-GB"/>
        </w:rPr>
        <w:t>2003</w:t>
      </w:r>
      <w:r w:rsidRPr="0025590B" w:rsidR="00E91685">
        <w:rPr>
          <w:lang w:val="en-GB"/>
        </w:rPr>
        <w:noBreakHyphen/>
      </w:r>
      <w:r w:rsidRPr="0025590B" w:rsidR="008A7A99">
        <w:rPr>
          <w:lang w:val="en-GB"/>
        </w:rPr>
        <w:t xml:space="preserve">VII; </w:t>
      </w:r>
      <w:r w:rsidRPr="0025590B" w:rsidR="008A7A99">
        <w:rPr>
          <w:i/>
          <w:lang w:val="en-GB"/>
        </w:rPr>
        <w:t>Schlumpf v. Switzerland</w:t>
      </w:r>
      <w:r w:rsidRPr="0025590B" w:rsidR="008A7A99">
        <w:rPr>
          <w:lang w:val="en-GB"/>
        </w:rPr>
        <w:t xml:space="preserve">, no. 29002/06, § 77, 8 January 2009; and </w:t>
      </w:r>
      <w:r w:rsidRPr="0025590B" w:rsidR="008A7A99">
        <w:rPr>
          <w:i/>
          <w:lang w:val="en-GB"/>
        </w:rPr>
        <w:t>Y.Y. v. Turkey</w:t>
      </w:r>
      <w:r w:rsidRPr="0025590B" w:rsidR="008A7A99">
        <w:rPr>
          <w:lang w:val="en-GB"/>
        </w:rPr>
        <w:t>, cited above, § 56, and the references cited therein).</w:t>
      </w:r>
    </w:p>
    <w:p w:rsidRPr="0025590B" w:rsidR="00774702"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55</w:t>
      </w:r>
      <w:r w:rsidRPr="0025590B">
        <w:rPr>
          <w:lang w:val="en-GB"/>
        </w:rPr>
        <w:fldChar w:fldCharType="end"/>
      </w:r>
      <w:r w:rsidRPr="0025590B">
        <w:rPr>
          <w:lang w:val="en-GB"/>
        </w:rPr>
        <w:t>.  </w:t>
      </w:r>
      <w:r w:rsidRPr="0025590B" w:rsidR="00DB26D5">
        <w:rPr>
          <w:lang w:val="en-GB"/>
        </w:rPr>
        <w:t xml:space="preserve">The Court further reiterates that the notion of personal autonomy is an important principle underlying the interpretation of the guarantees of Article 8 of the Convention (see </w:t>
      </w:r>
      <w:r w:rsidRPr="0025590B" w:rsidR="00774702">
        <w:rPr>
          <w:i/>
          <w:lang w:val="en-GB"/>
        </w:rPr>
        <w:t>Pretty v. the United Kingdom</w:t>
      </w:r>
      <w:r w:rsidRPr="0025590B" w:rsidR="00774702">
        <w:rPr>
          <w:lang w:val="en-GB"/>
        </w:rPr>
        <w:t>, no. 2346/02, § 61, ECHR 2002</w:t>
      </w:r>
      <w:r w:rsidRPr="0025590B" w:rsidR="00774702">
        <w:rPr>
          <w:lang w:val="en-GB"/>
        </w:rPr>
        <w:noBreakHyphen/>
        <w:t xml:space="preserve">III). This has led it to recognise, in the context of the application of that provision to transgender persons, that it includes a right to self-determination (see </w:t>
      </w:r>
      <w:r w:rsidRPr="0025590B" w:rsidR="00774702">
        <w:rPr>
          <w:i/>
          <w:lang w:val="en-GB"/>
        </w:rPr>
        <w:t>Van Kück</w:t>
      </w:r>
      <w:r w:rsidRPr="0025590B" w:rsidR="00774702">
        <w:rPr>
          <w:lang w:val="en-GB"/>
        </w:rPr>
        <w:t xml:space="preserve">, § 69, and </w:t>
      </w:r>
      <w:r w:rsidRPr="0025590B" w:rsidR="00774702">
        <w:rPr>
          <w:i/>
          <w:lang w:val="en-GB"/>
        </w:rPr>
        <w:t>Schlumpf</w:t>
      </w:r>
      <w:r w:rsidRPr="0025590B" w:rsidR="00774702">
        <w:rPr>
          <w:lang w:val="en-GB"/>
        </w:rPr>
        <w:t>, § 100, both cited above), of which the freedom to define one</w:t>
      </w:r>
      <w:r w:rsidRPr="0025590B" w:rsidR="0025590B">
        <w:rPr>
          <w:lang w:val="en-GB"/>
        </w:rPr>
        <w:t>’</w:t>
      </w:r>
      <w:r w:rsidRPr="0025590B" w:rsidR="00774702">
        <w:rPr>
          <w:lang w:val="en-GB"/>
        </w:rPr>
        <w:t xml:space="preserve">s sexual identity is one of the most basic essentials (see </w:t>
      </w:r>
      <w:r w:rsidRPr="0025590B" w:rsidR="00774702">
        <w:rPr>
          <w:i/>
          <w:lang w:val="en-GB"/>
        </w:rPr>
        <w:t>Van Kück</w:t>
      </w:r>
      <w:r w:rsidRPr="0025590B" w:rsidR="00774702">
        <w:rPr>
          <w:lang w:val="en-GB"/>
        </w:rPr>
        <w:t xml:space="preserve">, cited above, § 73). It has also found that the right of transgender persons to personal development and to physical and moral security is guaranteed by Article 8 (see, among other authorities, </w:t>
      </w:r>
      <w:r w:rsidRPr="0025590B" w:rsidR="00774702">
        <w:rPr>
          <w:i/>
          <w:lang w:val="en-GB"/>
        </w:rPr>
        <w:t>Van Kück</w:t>
      </w:r>
      <w:r w:rsidRPr="0025590B" w:rsidR="00774702">
        <w:rPr>
          <w:lang w:val="en-GB"/>
        </w:rPr>
        <w:t xml:space="preserve">, § 69; </w:t>
      </w:r>
      <w:r w:rsidRPr="0025590B" w:rsidR="00774702">
        <w:rPr>
          <w:i/>
          <w:lang w:val="en-GB"/>
        </w:rPr>
        <w:t>Schlumpf</w:t>
      </w:r>
      <w:r w:rsidRPr="0025590B" w:rsidR="00774702">
        <w:rPr>
          <w:lang w:val="en-GB"/>
        </w:rPr>
        <w:t xml:space="preserve">, § 100; and </w:t>
      </w:r>
      <w:r w:rsidRPr="0025590B" w:rsidR="00774702">
        <w:rPr>
          <w:i/>
          <w:lang w:val="en-GB"/>
        </w:rPr>
        <w:t>Y.Y. v. Turkey</w:t>
      </w:r>
      <w:r w:rsidRPr="0025590B" w:rsidR="00774702">
        <w:rPr>
          <w:lang w:val="en-GB"/>
        </w:rPr>
        <w:t>, § 58, all cited above).</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56</w:t>
      </w:r>
      <w:r w:rsidRPr="0025590B">
        <w:rPr>
          <w:lang w:val="en-GB"/>
        </w:rPr>
        <w:fldChar w:fldCharType="end"/>
      </w:r>
      <w:r w:rsidRPr="0025590B">
        <w:rPr>
          <w:lang w:val="en-GB"/>
        </w:rPr>
        <w:t>.  </w:t>
      </w:r>
      <w:r w:rsidRPr="0025590B" w:rsidR="00515228">
        <w:rPr>
          <w:lang w:val="en-GB"/>
        </w:rPr>
        <w:t>The Court</w:t>
      </w:r>
      <w:r w:rsidRPr="0025590B" w:rsidR="0025590B">
        <w:rPr>
          <w:lang w:val="en-GB"/>
        </w:rPr>
        <w:t>’</w:t>
      </w:r>
      <w:r w:rsidRPr="0025590B" w:rsidR="00515228">
        <w:rPr>
          <w:lang w:val="en-GB"/>
        </w:rPr>
        <w:t xml:space="preserve">s judgments in this sphere have hitherto concerned legal recognition of the gender identity of transgender persons who had undergone reassignment surgery (see </w:t>
      </w:r>
      <w:r w:rsidRPr="0025590B" w:rsidR="00515228">
        <w:rPr>
          <w:i/>
          <w:lang w:val="en-GB"/>
        </w:rPr>
        <w:t>Rees v. the United Kingdom</w:t>
      </w:r>
      <w:r w:rsidRPr="0025590B" w:rsidR="00515228">
        <w:rPr>
          <w:lang w:val="en-GB"/>
        </w:rPr>
        <w:t>, 17</w:t>
      </w:r>
      <w:r w:rsidRPr="0025590B" w:rsidR="00E91685">
        <w:rPr>
          <w:lang w:val="en-GB"/>
        </w:rPr>
        <w:t> </w:t>
      </w:r>
      <w:r w:rsidRPr="0025590B" w:rsidR="00515228">
        <w:rPr>
          <w:lang w:val="en-GB"/>
        </w:rPr>
        <w:t xml:space="preserve">October 1986, Series A no. 106; </w:t>
      </w:r>
      <w:r w:rsidRPr="0025590B" w:rsidR="00515228">
        <w:rPr>
          <w:i/>
          <w:lang w:val="en-GB"/>
        </w:rPr>
        <w:t>Cossey v. the United Kingdom</w:t>
      </w:r>
      <w:r w:rsidRPr="0025590B" w:rsidR="00515228">
        <w:rPr>
          <w:lang w:val="en-GB"/>
        </w:rPr>
        <w:t>, 27</w:t>
      </w:r>
      <w:r w:rsidRPr="0025590B" w:rsidR="00E91685">
        <w:rPr>
          <w:lang w:val="en-GB"/>
        </w:rPr>
        <w:t> </w:t>
      </w:r>
      <w:r w:rsidRPr="0025590B" w:rsidR="00515228">
        <w:rPr>
          <w:lang w:val="en-GB"/>
        </w:rPr>
        <w:t xml:space="preserve">September 1990, Series A no. 184; </w:t>
      </w:r>
      <w:r w:rsidRPr="0025590B" w:rsidR="00515228">
        <w:rPr>
          <w:i/>
          <w:lang w:val="en-GB"/>
        </w:rPr>
        <w:t>B. v. France</w:t>
      </w:r>
      <w:r w:rsidRPr="0025590B" w:rsidR="00515228">
        <w:rPr>
          <w:lang w:val="en-GB"/>
        </w:rPr>
        <w:t xml:space="preserve">, 25 March 1992, Series A no. 232-C; </w:t>
      </w:r>
      <w:r w:rsidRPr="0025590B" w:rsidR="00515228">
        <w:rPr>
          <w:i/>
          <w:lang w:val="en-GB"/>
        </w:rPr>
        <w:t>Christine Goodwin v. the United Kingdom</w:t>
      </w:r>
      <w:r w:rsidRPr="0025590B" w:rsidR="00515228">
        <w:rPr>
          <w:lang w:val="en-GB"/>
        </w:rPr>
        <w:t xml:space="preserve"> [GC], no.</w:t>
      </w:r>
      <w:r w:rsidRPr="0025590B" w:rsidR="00E91685">
        <w:rPr>
          <w:lang w:val="en-GB"/>
        </w:rPr>
        <w:t> </w:t>
      </w:r>
      <w:r w:rsidRPr="0025590B" w:rsidR="00515228">
        <w:rPr>
          <w:lang w:val="en-GB"/>
        </w:rPr>
        <w:t xml:space="preserve">28957/95, ECHR 2002-VI; </w:t>
      </w:r>
      <w:r w:rsidRPr="0025590B" w:rsidR="00515228">
        <w:rPr>
          <w:i/>
          <w:lang w:val="en-GB"/>
        </w:rPr>
        <w:t>I. v. the United Kingdom</w:t>
      </w:r>
      <w:r w:rsidRPr="0025590B" w:rsidR="00515228">
        <w:rPr>
          <w:lang w:val="en-GB"/>
        </w:rPr>
        <w:t xml:space="preserve"> [GC], no.</w:t>
      </w:r>
      <w:r w:rsidRPr="0025590B" w:rsidR="00E91685">
        <w:rPr>
          <w:lang w:val="en-GB"/>
        </w:rPr>
        <w:t> </w:t>
      </w:r>
      <w:r w:rsidRPr="0025590B" w:rsidR="00515228">
        <w:rPr>
          <w:lang w:val="en-GB"/>
        </w:rPr>
        <w:t xml:space="preserve">25680/94, 11 July 2002; </w:t>
      </w:r>
      <w:r w:rsidRPr="0025590B" w:rsidR="00515228">
        <w:rPr>
          <w:i/>
          <w:lang w:val="en-GB"/>
        </w:rPr>
        <w:t>Grant v. the United Kingdom</w:t>
      </w:r>
      <w:r w:rsidRPr="0025590B" w:rsidR="00515228">
        <w:rPr>
          <w:lang w:val="en-GB"/>
        </w:rPr>
        <w:t xml:space="preserve">, no. 32570/03, ECHR 2006-VII; and </w:t>
      </w:r>
      <w:r w:rsidRPr="0025590B" w:rsidR="00515228">
        <w:rPr>
          <w:i/>
          <w:lang w:val="en-GB"/>
        </w:rPr>
        <w:t>Hämäläinen v. Finland</w:t>
      </w:r>
      <w:r w:rsidRPr="0025590B" w:rsidR="00515228">
        <w:rPr>
          <w:lang w:val="en-GB"/>
        </w:rPr>
        <w:t xml:space="preserve"> [GC], no. 37359/09, ECHR</w:t>
      </w:r>
      <w:r w:rsidRPr="0025590B" w:rsidR="00E91685">
        <w:rPr>
          <w:lang w:val="en-GB"/>
        </w:rPr>
        <w:t> </w:t>
      </w:r>
      <w:r w:rsidRPr="0025590B" w:rsidR="00515228">
        <w:rPr>
          <w:lang w:val="en-GB"/>
        </w:rPr>
        <w:t xml:space="preserve">2014), the conditions of access to such surgery (see </w:t>
      </w:r>
      <w:r w:rsidRPr="0025590B" w:rsidR="00515228">
        <w:rPr>
          <w:i/>
          <w:lang w:val="en-GB"/>
        </w:rPr>
        <w:t>Van Kück</w:t>
      </w:r>
      <w:r w:rsidRPr="0025590B" w:rsidR="00515228">
        <w:rPr>
          <w:lang w:val="en-GB"/>
        </w:rPr>
        <w:t xml:space="preserve">, cited above; </w:t>
      </w:r>
      <w:r w:rsidRPr="0025590B" w:rsidR="00515228">
        <w:rPr>
          <w:i/>
          <w:lang w:val="en-GB"/>
        </w:rPr>
        <w:t>Schlumpf</w:t>
      </w:r>
      <w:r w:rsidRPr="0025590B" w:rsidR="00515228">
        <w:rPr>
          <w:lang w:val="en-GB"/>
        </w:rPr>
        <w:t xml:space="preserve">, cited above; </w:t>
      </w:r>
      <w:r w:rsidRPr="0025590B" w:rsidR="00515228">
        <w:rPr>
          <w:i/>
          <w:lang w:val="en-GB"/>
        </w:rPr>
        <w:t>L. v. Lithuania</w:t>
      </w:r>
      <w:r w:rsidRPr="0025590B" w:rsidR="00515228">
        <w:rPr>
          <w:lang w:val="en-GB"/>
        </w:rPr>
        <w:t>, no. 27527/03, ECHR</w:t>
      </w:r>
      <w:r w:rsidRPr="0025590B" w:rsidR="00E91685">
        <w:rPr>
          <w:lang w:val="en-GB"/>
        </w:rPr>
        <w:t> </w:t>
      </w:r>
      <w:r w:rsidRPr="0025590B" w:rsidR="00515228">
        <w:rPr>
          <w:lang w:val="en-GB"/>
        </w:rPr>
        <w:t>2007</w:t>
      </w:r>
      <w:r w:rsidRPr="0025590B" w:rsidR="00E91685">
        <w:rPr>
          <w:lang w:val="en-GB"/>
        </w:rPr>
        <w:noBreakHyphen/>
      </w:r>
      <w:r w:rsidRPr="0025590B" w:rsidR="00515228">
        <w:rPr>
          <w:lang w:val="en-GB"/>
        </w:rPr>
        <w:t xml:space="preserve">IV; and </w:t>
      </w:r>
      <w:r w:rsidRPr="0025590B" w:rsidR="00515228">
        <w:rPr>
          <w:i/>
          <w:lang w:val="en-GB"/>
        </w:rPr>
        <w:t>Y.Y. v. Turkey</w:t>
      </w:r>
      <w:r w:rsidRPr="0025590B" w:rsidR="00515228">
        <w:rPr>
          <w:lang w:val="en-GB"/>
        </w:rPr>
        <w:t xml:space="preserve">, cited above), and the legal recognition of the gender identity of transgender persons who had not undergone gender reassignment treatment approved by the authorities, or who did not wish to undergo such treatment (see </w:t>
      </w:r>
      <w:r w:rsidRPr="0025590B">
        <w:rPr>
          <w:i/>
          <w:lang w:val="en-GB"/>
        </w:rPr>
        <w:t xml:space="preserve">A.P., Garçon </w:t>
      </w:r>
      <w:r w:rsidRPr="0025590B" w:rsidR="00541AAD">
        <w:rPr>
          <w:i/>
          <w:lang w:val="en-GB"/>
        </w:rPr>
        <w:t>and</w:t>
      </w:r>
      <w:r w:rsidRPr="0025590B">
        <w:rPr>
          <w:i/>
          <w:lang w:val="en-GB"/>
        </w:rPr>
        <w:t xml:space="preserve"> Nicot</w:t>
      </w:r>
      <w:r w:rsidRPr="0025590B">
        <w:rPr>
          <w:lang w:val="en-GB"/>
        </w:rPr>
        <w:t xml:space="preserve">, </w:t>
      </w:r>
      <w:r w:rsidRPr="0025590B" w:rsidR="00515228">
        <w:rPr>
          <w:lang w:val="en-GB"/>
        </w:rPr>
        <w:t>cited above</w:t>
      </w:r>
      <w:r w:rsidRPr="0025590B">
        <w:rPr>
          <w:lang w:val="en-GB"/>
        </w:rPr>
        <w:t>).</w:t>
      </w:r>
    </w:p>
    <w:p w:rsidRPr="0025590B" w:rsidR="00515228" w:rsidP="0025590B" w:rsidRDefault="00684353">
      <w:pPr>
        <w:pStyle w:val="ECHRPara"/>
        <w:keepNext/>
        <w:keepLines/>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57</w:t>
      </w:r>
      <w:r w:rsidRPr="0025590B">
        <w:rPr>
          <w:lang w:val="en-GB"/>
        </w:rPr>
        <w:fldChar w:fldCharType="end"/>
      </w:r>
      <w:r w:rsidRPr="0025590B">
        <w:rPr>
          <w:lang w:val="en-GB"/>
        </w:rPr>
        <w:t>.  </w:t>
      </w:r>
      <w:r w:rsidRPr="0025590B" w:rsidR="00515228">
        <w:rPr>
          <w:lang w:val="en-GB"/>
        </w:rPr>
        <w:t>The Court stresses that the present case concerns the inability of a transgender person to obtain a change of forename prior to completion of the gender transition process by means of reassignment surgery. This is an issue potentially facing transgender persons which differs from the issues hitherto examined by the Court.</w:t>
      </w:r>
    </w:p>
    <w:p w:rsidRPr="0025590B" w:rsidR="0003391A"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58</w:t>
      </w:r>
      <w:r w:rsidRPr="0025590B">
        <w:rPr>
          <w:lang w:val="en-GB"/>
        </w:rPr>
        <w:fldChar w:fldCharType="end"/>
      </w:r>
      <w:r w:rsidRPr="0025590B">
        <w:rPr>
          <w:lang w:val="en-GB"/>
        </w:rPr>
        <w:t>.  </w:t>
      </w:r>
      <w:r w:rsidRPr="0025590B" w:rsidR="0003391A">
        <w:rPr>
          <w:lang w:val="en-GB"/>
        </w:rPr>
        <w:t xml:space="preserve">Nevertheless, the right to respect for private life applies fully to this issue, which therefore indisputably falls within the scope of Article 8 of the Convention, as the Court </w:t>
      </w:r>
      <w:r w:rsidRPr="0025590B" w:rsidR="00B457F0">
        <w:rPr>
          <w:lang w:val="en-GB"/>
        </w:rPr>
        <w:t xml:space="preserve">has </w:t>
      </w:r>
      <w:r w:rsidRPr="0025590B" w:rsidR="0003391A">
        <w:rPr>
          <w:lang w:val="en-GB"/>
        </w:rPr>
        <w:t>asserted more broadly in cases concerning the choice of, or changes to, individuals</w:t>
      </w:r>
      <w:r w:rsidRPr="0025590B" w:rsidR="0025590B">
        <w:rPr>
          <w:lang w:val="en-GB"/>
        </w:rPr>
        <w:t>’</w:t>
      </w:r>
      <w:r w:rsidRPr="0025590B" w:rsidR="0003391A">
        <w:rPr>
          <w:lang w:val="en-GB"/>
        </w:rPr>
        <w:t xml:space="preserve"> forenames or surnames (see, among many other authorities, </w:t>
      </w:r>
      <w:r w:rsidRPr="0025590B" w:rsidR="0003391A">
        <w:rPr>
          <w:i/>
          <w:lang w:val="en-GB"/>
        </w:rPr>
        <w:t>Golemanova v. Bulgaria</w:t>
      </w:r>
      <w:r w:rsidRPr="0025590B" w:rsidR="0003391A">
        <w:rPr>
          <w:lang w:val="en-GB"/>
        </w:rPr>
        <w:t>, no. 11369/04</w:t>
      </w:r>
      <w:r w:rsidRPr="0025590B" w:rsidR="0003391A">
        <w:rPr>
          <w:snapToGrid w:val="0"/>
          <w:lang w:val="en-GB"/>
        </w:rPr>
        <w:t>, § 37, 17</w:t>
      </w:r>
      <w:r w:rsidRPr="0025590B" w:rsidR="00E91685">
        <w:rPr>
          <w:snapToGrid w:val="0"/>
          <w:lang w:val="en-GB"/>
        </w:rPr>
        <w:t> </w:t>
      </w:r>
      <w:r w:rsidRPr="0025590B" w:rsidR="0003391A">
        <w:rPr>
          <w:snapToGrid w:val="0"/>
          <w:lang w:val="en-GB"/>
        </w:rPr>
        <w:t xml:space="preserve">February 2011, and </w:t>
      </w:r>
      <w:r w:rsidRPr="0025590B" w:rsidR="0003391A">
        <w:rPr>
          <w:i/>
          <w:lang w:val="en-GB"/>
        </w:rPr>
        <w:t>Henry Kismoun</w:t>
      </w:r>
      <w:r w:rsidRPr="0025590B" w:rsidR="0003391A">
        <w:rPr>
          <w:lang w:val="en-GB"/>
        </w:rPr>
        <w:t xml:space="preserve"> </w:t>
      </w:r>
      <w:r w:rsidRPr="0025590B" w:rsidR="0003391A">
        <w:rPr>
          <w:i/>
          <w:lang w:val="en-GB"/>
        </w:rPr>
        <w:t>v. France</w:t>
      </w:r>
      <w:r w:rsidRPr="0025590B" w:rsidR="0003391A">
        <w:rPr>
          <w:snapToGrid w:val="0"/>
          <w:lang w:val="en-GB"/>
        </w:rPr>
        <w:t xml:space="preserve">, </w:t>
      </w:r>
      <w:r w:rsidRPr="0025590B" w:rsidR="0003391A">
        <w:rPr>
          <w:lang w:val="en-GB"/>
        </w:rPr>
        <w:t>no. 32265/10</w:t>
      </w:r>
      <w:r w:rsidRPr="0025590B" w:rsidR="0003391A">
        <w:rPr>
          <w:snapToGrid w:val="0"/>
          <w:lang w:val="en-GB"/>
        </w:rPr>
        <w:t>, § 25, 5</w:t>
      </w:r>
      <w:r w:rsidRPr="0025590B" w:rsidR="00E91685">
        <w:rPr>
          <w:snapToGrid w:val="0"/>
          <w:lang w:val="en-GB"/>
        </w:rPr>
        <w:t> </w:t>
      </w:r>
      <w:r w:rsidRPr="0025590B" w:rsidR="0003391A">
        <w:rPr>
          <w:snapToGrid w:val="0"/>
          <w:lang w:val="en-GB"/>
        </w:rPr>
        <w:t>December 2013).</w:t>
      </w:r>
    </w:p>
    <w:p w:rsidRPr="0025590B" w:rsidR="00F22E31"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59</w:t>
      </w:r>
      <w:r w:rsidRPr="0025590B">
        <w:rPr>
          <w:lang w:val="en-GB"/>
        </w:rPr>
        <w:fldChar w:fldCharType="end"/>
      </w:r>
      <w:r w:rsidRPr="0025590B">
        <w:rPr>
          <w:lang w:val="en-GB"/>
        </w:rPr>
        <w:t>.  </w:t>
      </w:r>
      <w:r w:rsidRPr="0025590B" w:rsidR="0003391A">
        <w:rPr>
          <w:lang w:val="en-GB"/>
        </w:rPr>
        <w:t xml:space="preserve">Accordingly, </w:t>
      </w:r>
      <w:r w:rsidRPr="0025590B" w:rsidR="00F22E31">
        <w:rPr>
          <w:lang w:val="en-GB"/>
        </w:rPr>
        <w:t xml:space="preserve">the “private life” aspect of </w:t>
      </w:r>
      <w:r w:rsidRPr="0025590B" w:rsidR="0003391A">
        <w:rPr>
          <w:lang w:val="en-GB"/>
        </w:rPr>
        <w:t>Article 8 of the Convention is</w:t>
      </w:r>
      <w:r w:rsidRPr="0025590B" w:rsidR="00F22E31">
        <w:rPr>
          <w:lang w:val="en-GB"/>
        </w:rPr>
        <w:t xml:space="preserve"> applicable to the present case; </w:t>
      </w:r>
      <w:r w:rsidRPr="0025590B" w:rsidR="003B2BDD">
        <w:rPr>
          <w:lang w:val="en-GB"/>
        </w:rPr>
        <w:t xml:space="preserve">moreover, </w:t>
      </w:r>
      <w:r w:rsidRPr="0025590B" w:rsidR="00F22E31">
        <w:rPr>
          <w:lang w:val="en-GB"/>
        </w:rPr>
        <w:t>this was not disputed by the Government.</w:t>
      </w:r>
    </w:p>
    <w:p w:rsidRPr="0025590B" w:rsidR="00684353" w:rsidP="0025590B" w:rsidRDefault="00F22E31">
      <w:pPr>
        <w:pStyle w:val="ECHRHeading4"/>
        <w:rPr>
          <w:rFonts w:eastAsiaTheme="minorHAnsi"/>
          <w:lang w:val="en-GB"/>
        </w:rPr>
      </w:pPr>
      <w:r w:rsidRPr="0025590B">
        <w:rPr>
          <w:rFonts w:eastAsiaTheme="minorHAnsi"/>
          <w:lang w:val="en-GB"/>
        </w:rPr>
        <w:t>(</w:t>
      </w:r>
      <w:r w:rsidRPr="0025590B" w:rsidR="00684353">
        <w:rPr>
          <w:rFonts w:eastAsiaTheme="minorHAnsi"/>
          <w:lang w:val="en-GB"/>
        </w:rPr>
        <w:t>b)  </w:t>
      </w:r>
      <w:r w:rsidRPr="0025590B">
        <w:rPr>
          <w:rFonts w:eastAsiaTheme="minorHAnsi"/>
          <w:lang w:val="en-GB"/>
        </w:rPr>
        <w:t>Compliance with A</w:t>
      </w:r>
      <w:r w:rsidRPr="0025590B" w:rsidR="00684353">
        <w:rPr>
          <w:rFonts w:eastAsiaTheme="minorHAnsi"/>
          <w:lang w:val="en-GB"/>
        </w:rPr>
        <w:t xml:space="preserve">rticle 8 </w:t>
      </w:r>
      <w:r w:rsidRPr="0025590B">
        <w:rPr>
          <w:rFonts w:eastAsiaTheme="minorHAnsi"/>
          <w:lang w:val="en-GB"/>
        </w:rPr>
        <w:t>of the</w:t>
      </w:r>
      <w:r w:rsidRPr="0025590B" w:rsidR="00684353">
        <w:rPr>
          <w:rFonts w:eastAsiaTheme="minorHAnsi"/>
          <w:lang w:val="en-GB"/>
        </w:rPr>
        <w:t xml:space="preserve"> Convention</w:t>
      </w:r>
    </w:p>
    <w:p w:rsidRPr="0025590B" w:rsidR="00F22E31"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60</w:t>
      </w:r>
      <w:r w:rsidRPr="0025590B">
        <w:rPr>
          <w:lang w:val="en-GB"/>
        </w:rPr>
        <w:fldChar w:fldCharType="end"/>
      </w:r>
      <w:r w:rsidRPr="0025590B">
        <w:rPr>
          <w:lang w:val="en-GB"/>
        </w:rPr>
        <w:t>.  </w:t>
      </w:r>
      <w:r w:rsidRPr="0025590B" w:rsidR="00F22E31">
        <w:rPr>
          <w:lang w:val="en-GB"/>
        </w:rPr>
        <w:t>The Court reiterates that while the essential object of Article 8 is to protect the individual against arbitrary interference by the public authorities it does not merely compel the State to abstain from such interference: in addition to this negative undertaking, there may be positive obligations inherent in effective respect for private or family life. While the boundaries between the State</w:t>
      </w:r>
      <w:r w:rsidRPr="0025590B" w:rsidR="0025590B">
        <w:rPr>
          <w:lang w:val="en-GB"/>
        </w:rPr>
        <w:t>’</w:t>
      </w:r>
      <w:r w:rsidRPr="0025590B" w:rsidR="00F22E31">
        <w:rPr>
          <w:lang w:val="en-GB"/>
        </w:rPr>
        <w:t>s positive and negative obligations under Article 8 do not lend themselves to precise definition, the applicable principles are nonetheless similar. In determining whether or not such an obligation exists, regard must be had to the fair balance which has to be struck between the general interest and the interests of the individual (see</w:t>
      </w:r>
      <w:r w:rsidRPr="0025590B" w:rsidR="003B2BDD">
        <w:rPr>
          <w:lang w:val="en-GB"/>
        </w:rPr>
        <w:t>, among other authorities,</w:t>
      </w:r>
      <w:r w:rsidRPr="0025590B" w:rsidR="00F22E31">
        <w:rPr>
          <w:lang w:val="en-GB"/>
        </w:rPr>
        <w:t xml:space="preserve"> </w:t>
      </w:r>
      <w:r w:rsidRPr="0025590B" w:rsidR="00F22E31">
        <w:rPr>
          <w:i/>
          <w:lang w:val="en-GB"/>
        </w:rPr>
        <w:t>Söderman v. Sweden</w:t>
      </w:r>
      <w:r w:rsidRPr="0025590B" w:rsidR="00F22E31">
        <w:rPr>
          <w:lang w:val="en-GB"/>
        </w:rPr>
        <w:t xml:space="preserve"> [GC], no. 5786/08, § 78, ECHR 2013).</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61</w:t>
      </w:r>
      <w:r w:rsidRPr="0025590B">
        <w:rPr>
          <w:lang w:val="en-GB"/>
        </w:rPr>
        <w:fldChar w:fldCharType="end"/>
      </w:r>
      <w:r w:rsidRPr="0025590B">
        <w:rPr>
          <w:lang w:val="en-GB"/>
        </w:rPr>
        <w:t>.  </w:t>
      </w:r>
      <w:r w:rsidRPr="0025590B" w:rsidR="00F22E31">
        <w:rPr>
          <w:lang w:val="en-GB"/>
        </w:rPr>
        <w:t xml:space="preserve">The Court also observes that, when it comes to </w:t>
      </w:r>
      <w:r w:rsidRPr="0025590B" w:rsidR="00FA6646">
        <w:rPr>
          <w:lang w:val="en-GB"/>
        </w:rPr>
        <w:t>laying down</w:t>
      </w:r>
      <w:r w:rsidRPr="0025590B" w:rsidR="00F22E31">
        <w:rPr>
          <w:lang w:val="en-GB"/>
        </w:rPr>
        <w:t xml:space="preserve"> the conditions required in order for individuals to obtain a change of name, the Contracting States </w:t>
      </w:r>
      <w:r w:rsidRPr="0025590B" w:rsidR="003B2BDD">
        <w:rPr>
          <w:lang w:val="en-GB"/>
        </w:rPr>
        <w:t>enjoy</w:t>
      </w:r>
      <w:r w:rsidRPr="0025590B" w:rsidR="00F22E31">
        <w:rPr>
          <w:lang w:val="en-GB"/>
        </w:rPr>
        <w:t xml:space="preserve"> a wide margin of appreciation. </w:t>
      </w:r>
      <w:r w:rsidRPr="0025590B" w:rsidR="00021881">
        <w:rPr>
          <w:lang w:val="en-GB"/>
        </w:rPr>
        <w:t>Whilst recognising that there may exist genuine reasons prompting an individual to wish to change his or her surname or forename, the Court reiterates that legal restrictions on such a possibility may be justified in the public interest</w:t>
      </w:r>
      <w:r w:rsidRPr="0025590B" w:rsidR="00172812">
        <w:rPr>
          <w:lang w:val="en-GB"/>
        </w:rPr>
        <w:t>,</w:t>
      </w:r>
      <w:r w:rsidRPr="0025590B" w:rsidR="00021881">
        <w:rPr>
          <w:lang w:val="en-GB"/>
        </w:rPr>
        <w:t xml:space="preserve"> for example in order to ensure accurate population registration or to safeguard the means of personal identification and of linking the bearers of a given name to a family</w:t>
      </w:r>
      <w:r w:rsidRPr="0025590B">
        <w:rPr>
          <w:lang w:val="en-GB"/>
        </w:rPr>
        <w:t xml:space="preserve"> (</w:t>
      </w:r>
      <w:r w:rsidRPr="0025590B" w:rsidR="00021881">
        <w:rPr>
          <w:lang w:val="en-GB"/>
        </w:rPr>
        <w:t xml:space="preserve">see </w:t>
      </w:r>
      <w:r w:rsidRPr="0025590B">
        <w:rPr>
          <w:i/>
          <w:lang w:val="en-GB"/>
        </w:rPr>
        <w:t>Golemanova</w:t>
      </w:r>
      <w:r w:rsidRPr="0025590B">
        <w:rPr>
          <w:lang w:val="en-GB"/>
        </w:rPr>
        <w:t xml:space="preserve">, </w:t>
      </w:r>
      <w:r w:rsidRPr="0025590B" w:rsidR="00021881">
        <w:rPr>
          <w:lang w:val="en-GB"/>
        </w:rPr>
        <w:t>cited above</w:t>
      </w:r>
      <w:r w:rsidRPr="0025590B">
        <w:rPr>
          <w:lang w:val="en-GB"/>
        </w:rPr>
        <w:t xml:space="preserve">, § 39, </w:t>
      </w:r>
      <w:r w:rsidRPr="0025590B" w:rsidR="00021881">
        <w:rPr>
          <w:lang w:val="en-GB"/>
        </w:rPr>
        <w:t>and</w:t>
      </w:r>
      <w:r w:rsidRPr="0025590B">
        <w:rPr>
          <w:lang w:val="en-GB"/>
        </w:rPr>
        <w:t xml:space="preserve"> </w:t>
      </w:r>
      <w:r w:rsidRPr="0025590B">
        <w:rPr>
          <w:i/>
          <w:lang w:val="en-GB"/>
        </w:rPr>
        <w:t>Henry Kismoun</w:t>
      </w:r>
      <w:r w:rsidRPr="0025590B">
        <w:rPr>
          <w:lang w:val="en-GB"/>
        </w:rPr>
        <w:t xml:space="preserve">, </w:t>
      </w:r>
      <w:r w:rsidRPr="0025590B" w:rsidR="00021881">
        <w:rPr>
          <w:lang w:val="en-GB"/>
        </w:rPr>
        <w:t>cited above</w:t>
      </w:r>
      <w:r w:rsidRPr="0025590B">
        <w:rPr>
          <w:lang w:val="en-GB"/>
        </w:rPr>
        <w:t>, § 31).</w:t>
      </w:r>
    </w:p>
    <w:p w:rsidRPr="0025590B" w:rsidR="00684353" w:rsidP="0025590B" w:rsidRDefault="00684353">
      <w:pPr>
        <w:pStyle w:val="ECHRPara"/>
        <w:keepNext/>
        <w:keepLines/>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62</w:t>
      </w:r>
      <w:r w:rsidRPr="0025590B">
        <w:rPr>
          <w:lang w:val="en-GB"/>
        </w:rPr>
        <w:fldChar w:fldCharType="end"/>
      </w:r>
      <w:r w:rsidRPr="0025590B">
        <w:rPr>
          <w:lang w:val="en-GB"/>
        </w:rPr>
        <w:t>.  </w:t>
      </w:r>
      <w:r w:rsidRPr="0025590B" w:rsidR="00021881">
        <w:rPr>
          <w:lang w:val="en-GB"/>
        </w:rPr>
        <w:t xml:space="preserve">However, as regards the balancing of the competing interests, the Court has </w:t>
      </w:r>
      <w:r w:rsidRPr="0025590B" w:rsidR="00541AAD">
        <w:rPr>
          <w:lang w:val="en-GB"/>
        </w:rPr>
        <w:t>emphasised the particular importance of matters relating to a most intimate part of an individual</w:t>
      </w:r>
      <w:r w:rsidRPr="0025590B" w:rsidR="0025590B">
        <w:rPr>
          <w:lang w:val="en-GB"/>
        </w:rPr>
        <w:t>’</w:t>
      </w:r>
      <w:r w:rsidRPr="0025590B" w:rsidR="00541AAD">
        <w:rPr>
          <w:lang w:val="en-GB"/>
        </w:rPr>
        <w:t xml:space="preserve">s life, namely the right to gender identity, a sphere in which the Contracting States have a narrow margin of appreciation (see </w:t>
      </w:r>
      <w:r w:rsidRPr="0025590B">
        <w:rPr>
          <w:i/>
          <w:lang w:val="en-GB"/>
        </w:rPr>
        <w:t>Hämäläinen</w:t>
      </w:r>
      <w:r w:rsidRPr="0025590B">
        <w:rPr>
          <w:lang w:val="en-GB"/>
        </w:rPr>
        <w:t xml:space="preserve">, </w:t>
      </w:r>
      <w:r w:rsidRPr="0025590B" w:rsidR="00541AAD">
        <w:rPr>
          <w:lang w:val="en-GB"/>
        </w:rPr>
        <w:t>cited above</w:t>
      </w:r>
      <w:r w:rsidRPr="0025590B">
        <w:rPr>
          <w:lang w:val="en-GB"/>
        </w:rPr>
        <w:t xml:space="preserve">, § 67, </w:t>
      </w:r>
      <w:r w:rsidRPr="0025590B" w:rsidR="00541AAD">
        <w:rPr>
          <w:lang w:val="en-GB"/>
        </w:rPr>
        <w:t>and</w:t>
      </w:r>
      <w:r w:rsidRPr="0025590B">
        <w:rPr>
          <w:i/>
          <w:lang w:val="en-GB"/>
        </w:rPr>
        <w:t xml:space="preserve"> A.P., Garçon </w:t>
      </w:r>
      <w:r w:rsidRPr="0025590B" w:rsidR="00541AAD">
        <w:rPr>
          <w:i/>
          <w:lang w:val="en-GB"/>
        </w:rPr>
        <w:t>and</w:t>
      </w:r>
      <w:r w:rsidRPr="0025590B">
        <w:rPr>
          <w:i/>
          <w:lang w:val="en-GB"/>
        </w:rPr>
        <w:t xml:space="preserve"> Nicot</w:t>
      </w:r>
      <w:r w:rsidRPr="0025590B">
        <w:rPr>
          <w:lang w:val="en-GB"/>
        </w:rPr>
        <w:t>,</w:t>
      </w:r>
      <w:r w:rsidRPr="0025590B">
        <w:rPr>
          <w:i/>
          <w:lang w:val="en-GB"/>
        </w:rPr>
        <w:t xml:space="preserve"> </w:t>
      </w:r>
      <w:r w:rsidRPr="0025590B" w:rsidR="00541AAD">
        <w:rPr>
          <w:lang w:val="en-GB"/>
        </w:rPr>
        <w:t>cited above</w:t>
      </w:r>
      <w:r w:rsidRPr="0025590B">
        <w:rPr>
          <w:i/>
          <w:lang w:val="en-GB"/>
        </w:rPr>
        <w:t>,</w:t>
      </w:r>
      <w:r w:rsidRPr="0025590B">
        <w:rPr>
          <w:lang w:val="en-GB"/>
        </w:rPr>
        <w:t xml:space="preserve"> § 123).</w:t>
      </w:r>
    </w:p>
    <w:p w:rsidRPr="0025590B" w:rsidR="00541AAD"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63</w:t>
      </w:r>
      <w:r w:rsidRPr="0025590B">
        <w:rPr>
          <w:lang w:val="en-GB"/>
        </w:rPr>
        <w:fldChar w:fldCharType="end"/>
      </w:r>
      <w:r w:rsidRPr="0025590B">
        <w:rPr>
          <w:lang w:val="en-GB"/>
        </w:rPr>
        <w:t>.  </w:t>
      </w:r>
      <w:r w:rsidRPr="0025590B" w:rsidR="00541AAD">
        <w:rPr>
          <w:lang w:val="en-GB"/>
        </w:rPr>
        <w:t>The main question to be addressed in the present case is whether, in view of the margin of appreciation available to it, Italy struck a fair balance between the general interest and the individual interest of the applicant in having a forename that matches her gender identity.</w:t>
      </w:r>
    </w:p>
    <w:p w:rsidRPr="0025590B" w:rsidR="00541AAD"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64</w:t>
      </w:r>
      <w:r w:rsidRPr="0025590B">
        <w:rPr>
          <w:lang w:val="en-GB"/>
        </w:rPr>
        <w:fldChar w:fldCharType="end"/>
      </w:r>
      <w:r w:rsidRPr="0025590B">
        <w:rPr>
          <w:lang w:val="en-GB"/>
        </w:rPr>
        <w:t>.  </w:t>
      </w:r>
      <w:r w:rsidRPr="0025590B" w:rsidR="00541AAD">
        <w:rPr>
          <w:lang w:val="en-GB"/>
        </w:rPr>
        <w:t xml:space="preserve">The Court observes at the outset that Italian law permits transgender persons to have their gender identity </w:t>
      </w:r>
      <w:r w:rsidRPr="0025590B" w:rsidR="002B5F23">
        <w:rPr>
          <w:lang w:val="en-GB"/>
        </w:rPr>
        <w:t xml:space="preserve">legally </w:t>
      </w:r>
      <w:r w:rsidRPr="0025590B" w:rsidR="00541AAD">
        <w:rPr>
          <w:lang w:val="en-GB"/>
        </w:rPr>
        <w:t>recognised by amending their civil</w:t>
      </w:r>
      <w:r w:rsidRPr="0025590B" w:rsidR="002C7EC3">
        <w:rPr>
          <w:lang w:val="en-GB"/>
        </w:rPr>
        <w:t>-</w:t>
      </w:r>
      <w:r w:rsidRPr="0025590B" w:rsidR="00541AAD">
        <w:rPr>
          <w:lang w:val="en-GB"/>
        </w:rPr>
        <w:t xml:space="preserve">status </w:t>
      </w:r>
      <w:r w:rsidRPr="0025590B" w:rsidR="002C7EC3">
        <w:rPr>
          <w:lang w:val="en-GB"/>
        </w:rPr>
        <w:t xml:space="preserve">records </w:t>
      </w:r>
      <w:r w:rsidRPr="0025590B" w:rsidR="00541AAD">
        <w:rPr>
          <w:lang w:val="en-GB"/>
        </w:rPr>
        <w:t>in accordance with Law no. 164 of 1982 (see paragraph 18 above).</w:t>
      </w:r>
    </w:p>
    <w:p w:rsidRPr="0025590B" w:rsidR="00541AAD"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65</w:t>
      </w:r>
      <w:r w:rsidRPr="0025590B">
        <w:rPr>
          <w:lang w:val="en-GB"/>
        </w:rPr>
        <w:fldChar w:fldCharType="end"/>
      </w:r>
      <w:r w:rsidRPr="0025590B">
        <w:rPr>
          <w:lang w:val="en-GB"/>
        </w:rPr>
        <w:t>.  </w:t>
      </w:r>
      <w:r w:rsidRPr="0025590B" w:rsidR="00541AAD">
        <w:rPr>
          <w:lang w:val="en-GB"/>
        </w:rPr>
        <w:t xml:space="preserve">The Court takes note of the position of the applicant, who alleged that she had been unable to obtain permission to change her forename until she had undergone her gender assignment surgery. It also observes that the applicant did not claim </w:t>
      </w:r>
      <w:r w:rsidRPr="0025590B" w:rsidR="00924764">
        <w:rPr>
          <w:lang w:val="en-GB"/>
        </w:rPr>
        <w:t xml:space="preserve">that she had been required to undergo the surgery against her will </w:t>
      </w:r>
      <w:r w:rsidRPr="0025590B" w:rsidR="00CB6345">
        <w:rPr>
          <w:lang w:val="en-GB"/>
        </w:rPr>
        <w:t>or solely in order to</w:t>
      </w:r>
      <w:r w:rsidRPr="0025590B" w:rsidR="00924764">
        <w:rPr>
          <w:lang w:val="en-GB"/>
        </w:rPr>
        <w:t xml:space="preserve"> obtain legal recognition of her gender identity. On the contrary, it is apparent from the documents in the domestic proceedings that she sought to have surgery in order for her physical appearance to match her gender identity, and that she was authorised to do so by the</w:t>
      </w:r>
      <w:r w:rsidRPr="0025590B" w:rsidR="002B5F23">
        <w:rPr>
          <w:lang w:val="en-GB"/>
        </w:rPr>
        <w:t xml:space="preserve"> District</w:t>
      </w:r>
      <w:r w:rsidRPr="0025590B" w:rsidR="00924764">
        <w:rPr>
          <w:lang w:val="en-GB"/>
        </w:rPr>
        <w:t xml:space="preserve"> </w:t>
      </w:r>
      <w:r w:rsidRPr="0025590B" w:rsidR="002B5F23">
        <w:rPr>
          <w:lang w:val="en-GB"/>
        </w:rPr>
        <w:t>C</w:t>
      </w:r>
      <w:r w:rsidRPr="0025590B" w:rsidR="00924764">
        <w:rPr>
          <w:lang w:val="en-GB"/>
        </w:rPr>
        <w:t xml:space="preserve">ourt. Therefore, in contrast to the case of </w:t>
      </w:r>
      <w:r w:rsidRPr="0025590B" w:rsidR="00924764">
        <w:rPr>
          <w:i/>
          <w:lang w:val="en-GB"/>
        </w:rPr>
        <w:t xml:space="preserve">A.P., Garçon and Nicot </w:t>
      </w:r>
      <w:r w:rsidRPr="0025590B" w:rsidR="00924764">
        <w:rPr>
          <w:lang w:val="en-GB"/>
        </w:rPr>
        <w:t>(cited above, § 135), the present case does not concern interference with the applicant</w:t>
      </w:r>
      <w:r w:rsidRPr="0025590B" w:rsidR="0025590B">
        <w:rPr>
          <w:lang w:val="en-GB"/>
        </w:rPr>
        <w:t>’</w:t>
      </w:r>
      <w:r w:rsidRPr="0025590B" w:rsidR="00924764">
        <w:rPr>
          <w:lang w:val="en-GB"/>
        </w:rPr>
        <w:t>s right to respect for her physical integrity in breach of Article 8 of the Convention.</w:t>
      </w:r>
    </w:p>
    <w:p w:rsidRPr="0025590B" w:rsidR="00B55EB2"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66</w:t>
      </w:r>
      <w:r w:rsidRPr="0025590B">
        <w:rPr>
          <w:lang w:val="en-GB"/>
        </w:rPr>
        <w:fldChar w:fldCharType="end"/>
      </w:r>
      <w:r w:rsidRPr="0025590B">
        <w:rPr>
          <w:lang w:val="en-GB"/>
        </w:rPr>
        <w:t>.  </w:t>
      </w:r>
      <w:r w:rsidRPr="0025590B" w:rsidR="00B55EB2">
        <w:rPr>
          <w:lang w:val="en-GB"/>
        </w:rPr>
        <w:t>The Court must therefore determine whether the authorities</w:t>
      </w:r>
      <w:r w:rsidRPr="0025590B" w:rsidR="0025590B">
        <w:rPr>
          <w:lang w:val="en-GB"/>
        </w:rPr>
        <w:t>’</w:t>
      </w:r>
      <w:r w:rsidRPr="0025590B" w:rsidR="00B55EB2">
        <w:rPr>
          <w:lang w:val="en-GB"/>
        </w:rPr>
        <w:t xml:space="preserve"> refusal to allow the applicant to change her forename during the gender transition process and before the completion of her gender reassignment surgery constituted disproportionate interference with her right to respect for her private life.</w:t>
      </w:r>
    </w:p>
    <w:p w:rsidRPr="0025590B" w:rsidR="00B55EB2"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67</w:t>
      </w:r>
      <w:r w:rsidRPr="0025590B">
        <w:rPr>
          <w:lang w:val="en-GB"/>
        </w:rPr>
        <w:fldChar w:fldCharType="end"/>
      </w:r>
      <w:r w:rsidRPr="0025590B">
        <w:rPr>
          <w:lang w:val="en-GB"/>
        </w:rPr>
        <w:t>.  </w:t>
      </w:r>
      <w:r w:rsidRPr="0025590B" w:rsidR="00B55EB2">
        <w:rPr>
          <w:lang w:val="en-GB"/>
        </w:rPr>
        <w:t xml:space="preserve">The Court notes that, following the District Court judgment of 10 May 2001 which authorised the surgery, the applicant was refused permission to change her forename through administrative channels on the grounds that any amendment to the civil-status records of a transgender person had to be ordered by a judge in the proceedings concerning the </w:t>
      </w:r>
      <w:r w:rsidRPr="0025590B" w:rsidR="000010DB">
        <w:rPr>
          <w:lang w:val="en-GB"/>
        </w:rPr>
        <w:t xml:space="preserve">change of </w:t>
      </w:r>
      <w:r w:rsidRPr="0025590B" w:rsidR="00B55EB2">
        <w:rPr>
          <w:lang w:val="en-GB"/>
        </w:rPr>
        <w:t>legal gender</w:t>
      </w:r>
      <w:r w:rsidRPr="0025590B" w:rsidR="00930CE9">
        <w:rPr>
          <w:lang w:val="en-GB"/>
        </w:rPr>
        <w:t xml:space="preserve"> status</w:t>
      </w:r>
      <w:r w:rsidRPr="0025590B" w:rsidR="00B55EB2">
        <w:rPr>
          <w:lang w:val="en-GB"/>
        </w:rPr>
        <w:t>. Consequently, the applicant, in accordance with section 3 of Law no. 164 of 2000 as in force at the relevant time, had to wait until the court confirmed that the surgery had been performed and gave a final ruling on her gender identity, which it did only on 10 October 2003.</w:t>
      </w:r>
    </w:p>
    <w:p w:rsidRPr="0025590B" w:rsidR="00993057"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68</w:t>
      </w:r>
      <w:r w:rsidRPr="0025590B">
        <w:rPr>
          <w:lang w:val="en-GB"/>
        </w:rPr>
        <w:fldChar w:fldCharType="end"/>
      </w:r>
      <w:r w:rsidRPr="0025590B">
        <w:rPr>
          <w:lang w:val="en-GB"/>
        </w:rPr>
        <w:t>.  </w:t>
      </w:r>
      <w:r w:rsidRPr="0025590B" w:rsidR="00B55EB2">
        <w:rPr>
          <w:lang w:val="en-GB"/>
        </w:rPr>
        <w:t xml:space="preserve">The Court stresses that its task </w:t>
      </w:r>
      <w:r w:rsidRPr="0025590B" w:rsidR="00993057">
        <w:rPr>
          <w:lang w:val="en-GB"/>
        </w:rPr>
        <w:t xml:space="preserve">is not </w:t>
      </w:r>
      <w:r w:rsidRPr="0025590B" w:rsidR="00B55EB2">
        <w:rPr>
          <w:lang w:val="en-GB"/>
        </w:rPr>
        <w:t>to take the place of the competent national authorities in determining the most appropriate policy</w:t>
      </w:r>
      <w:r w:rsidRPr="0025590B" w:rsidR="00993057">
        <w:rPr>
          <w:lang w:val="en-GB"/>
        </w:rPr>
        <w:t xml:space="preserve"> </w:t>
      </w:r>
      <w:r w:rsidRPr="0025590B" w:rsidR="002B5F23">
        <w:rPr>
          <w:lang w:val="en-GB"/>
        </w:rPr>
        <w:t>governing</w:t>
      </w:r>
      <w:r w:rsidRPr="0025590B" w:rsidR="00993057">
        <w:rPr>
          <w:lang w:val="en-GB"/>
        </w:rPr>
        <w:t xml:space="preserve"> changes of forename for transgender persons, but rather to review under the Convention the decisions that those authorities have taken in the exercise of their power of appreciation.</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69</w:t>
      </w:r>
      <w:r w:rsidRPr="0025590B">
        <w:rPr>
          <w:lang w:val="en-GB"/>
        </w:rPr>
        <w:fldChar w:fldCharType="end"/>
      </w:r>
      <w:r w:rsidRPr="0025590B">
        <w:rPr>
          <w:lang w:val="en-GB"/>
        </w:rPr>
        <w:t>.  </w:t>
      </w:r>
      <w:r w:rsidRPr="0025590B" w:rsidR="00993057">
        <w:rPr>
          <w:lang w:val="en-GB"/>
        </w:rPr>
        <w:t xml:space="preserve">Accordingly, it does not call into question as such the choice of the Italian legislature to entrust decisions on changes to the civil-status register concerning transgender persons to the judicial rather than the administrative authority. Moreover, the Court fully accepts that safeguarding the principle of the inalienability of civil status, the consistency and reliability of civil-status records and, more broadly, the need for legal certainty are in the general interest and justify putting in place stringent procedures aimed, in particular, at verifying the underlying motivation for requests for a change of legal identity (see, </w:t>
      </w:r>
      <w:r w:rsidRPr="0025590B" w:rsidR="00993057">
        <w:rPr>
          <w:i/>
          <w:lang w:val="en-GB"/>
        </w:rPr>
        <w:t xml:space="preserve">mutatis mutandis, </w:t>
      </w:r>
      <w:r w:rsidRPr="0025590B">
        <w:rPr>
          <w:i/>
          <w:lang w:val="en-GB"/>
        </w:rPr>
        <w:t xml:space="preserve">A.P., Garçon </w:t>
      </w:r>
      <w:r w:rsidRPr="0025590B" w:rsidR="00993057">
        <w:rPr>
          <w:i/>
          <w:lang w:val="en-GB"/>
        </w:rPr>
        <w:t>and</w:t>
      </w:r>
      <w:r w:rsidRPr="0025590B">
        <w:rPr>
          <w:i/>
          <w:lang w:val="en-GB"/>
        </w:rPr>
        <w:t xml:space="preserve"> Nicot</w:t>
      </w:r>
      <w:r w:rsidRPr="0025590B">
        <w:rPr>
          <w:lang w:val="en-GB"/>
        </w:rPr>
        <w:t xml:space="preserve">, </w:t>
      </w:r>
      <w:r w:rsidRPr="0025590B" w:rsidR="00993057">
        <w:rPr>
          <w:lang w:val="en-GB"/>
        </w:rPr>
        <w:t>cited above</w:t>
      </w:r>
      <w:r w:rsidRPr="0025590B">
        <w:rPr>
          <w:lang w:val="en-GB"/>
        </w:rPr>
        <w:t>, § 142).</w:t>
      </w:r>
    </w:p>
    <w:p w:rsidRPr="0025590B" w:rsidR="00993057"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70</w:t>
      </w:r>
      <w:r w:rsidRPr="0025590B">
        <w:rPr>
          <w:lang w:val="en-GB"/>
        </w:rPr>
        <w:fldChar w:fldCharType="end"/>
      </w:r>
      <w:r w:rsidRPr="0025590B">
        <w:rPr>
          <w:lang w:val="en-GB"/>
        </w:rPr>
        <w:t>.  </w:t>
      </w:r>
      <w:r w:rsidRPr="0025590B" w:rsidR="00993057">
        <w:rPr>
          <w:lang w:val="en-GB"/>
        </w:rPr>
        <w:t xml:space="preserve">Nevertheless, the Court cannot but note that the refusal of </w:t>
      </w:r>
      <w:r w:rsidRPr="0025590B" w:rsidR="007A2957">
        <w:rPr>
          <w:lang w:val="en-GB"/>
        </w:rPr>
        <w:t>the applicant</w:t>
      </w:r>
      <w:r w:rsidRPr="0025590B" w:rsidR="0025590B">
        <w:rPr>
          <w:lang w:val="en-GB"/>
        </w:rPr>
        <w:t>’</w:t>
      </w:r>
      <w:r w:rsidRPr="0025590B" w:rsidR="007A2957">
        <w:rPr>
          <w:lang w:val="en-GB"/>
        </w:rPr>
        <w:t>s request was based on purely formal arguments that took no account of her particular circumstances. For instance, the authorities did not take into consideration</w:t>
      </w:r>
      <w:r w:rsidRPr="0025590B" w:rsidR="00EE6BD7">
        <w:rPr>
          <w:lang w:val="en-GB"/>
        </w:rPr>
        <w:t xml:space="preserve"> the fact</w:t>
      </w:r>
      <w:r w:rsidRPr="0025590B" w:rsidR="007A2957">
        <w:rPr>
          <w:lang w:val="en-GB"/>
        </w:rPr>
        <w:t xml:space="preserve"> that she had been undergoing a gender transition process for a number of years and that her physical appearance and social identity had long been female.</w:t>
      </w:r>
    </w:p>
    <w:p w:rsidRPr="0025590B" w:rsidR="007A2957"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71</w:t>
      </w:r>
      <w:r w:rsidRPr="0025590B">
        <w:rPr>
          <w:lang w:val="en-GB"/>
        </w:rPr>
        <w:fldChar w:fldCharType="end"/>
      </w:r>
      <w:r w:rsidRPr="0025590B">
        <w:rPr>
          <w:lang w:val="en-GB"/>
        </w:rPr>
        <w:t>.  </w:t>
      </w:r>
      <w:r w:rsidRPr="0025590B" w:rsidR="007A2957">
        <w:rPr>
          <w:lang w:val="en-GB"/>
        </w:rPr>
        <w:t xml:space="preserve">In the circumstances of the present case the Court fails to see what reasons in the public interest could have justified a delay of over two and a half years in </w:t>
      </w:r>
      <w:r w:rsidRPr="0025590B" w:rsidR="00EE6BD7">
        <w:rPr>
          <w:lang w:val="en-GB"/>
        </w:rPr>
        <w:t>amending</w:t>
      </w:r>
      <w:r w:rsidRPr="0025590B" w:rsidR="007A2957">
        <w:rPr>
          <w:lang w:val="en-GB"/>
        </w:rPr>
        <w:t xml:space="preserve"> the forename on the applicant</w:t>
      </w:r>
      <w:r w:rsidRPr="0025590B" w:rsidR="0025590B">
        <w:rPr>
          <w:lang w:val="en-GB"/>
        </w:rPr>
        <w:t>’</w:t>
      </w:r>
      <w:r w:rsidRPr="0025590B" w:rsidR="007A2957">
        <w:rPr>
          <w:lang w:val="en-GB"/>
        </w:rPr>
        <w:t xml:space="preserve">s official documents </w:t>
      </w:r>
      <w:r w:rsidRPr="0025590B" w:rsidR="00EE6BD7">
        <w:rPr>
          <w:lang w:val="en-GB"/>
        </w:rPr>
        <w:t>in order to match</w:t>
      </w:r>
      <w:r w:rsidRPr="0025590B" w:rsidR="007A2957">
        <w:rPr>
          <w:lang w:val="en-GB"/>
        </w:rPr>
        <w:t xml:space="preserve"> the reality of her social situation, which had been recognised by the Rome District Court in its judgment of 10 May 2001. In that connection it reaffirms the principle according to which the Convention protects rights that are not theoretical or illusory, but practical and effective.</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72</w:t>
      </w:r>
      <w:r w:rsidRPr="0025590B">
        <w:rPr>
          <w:lang w:val="en-GB"/>
        </w:rPr>
        <w:fldChar w:fldCharType="end"/>
      </w:r>
      <w:r w:rsidRPr="0025590B">
        <w:rPr>
          <w:lang w:val="en-GB"/>
        </w:rPr>
        <w:t>.  </w:t>
      </w:r>
      <w:r w:rsidRPr="0025590B" w:rsidR="00D53A9A">
        <w:rPr>
          <w:lang w:val="en-GB"/>
        </w:rPr>
        <w:t>By contrast</w:t>
      </w:r>
      <w:r w:rsidRPr="0025590B" w:rsidR="00B05180">
        <w:rPr>
          <w:lang w:val="en-GB"/>
        </w:rPr>
        <w:t xml:space="preserve">, the Court </w:t>
      </w:r>
      <w:r w:rsidRPr="0025590B" w:rsidR="00D53A9A">
        <w:rPr>
          <w:lang w:val="en-GB"/>
        </w:rPr>
        <w:t xml:space="preserve">observes </w:t>
      </w:r>
      <w:r w:rsidRPr="0025590B" w:rsidR="00A2406A">
        <w:rPr>
          <w:lang w:val="en-GB"/>
        </w:rPr>
        <w:t>the rigid nature of</w:t>
      </w:r>
      <w:r w:rsidRPr="0025590B" w:rsidR="00D53A9A">
        <w:rPr>
          <w:lang w:val="en-GB"/>
        </w:rPr>
        <w:t xml:space="preserve"> the judicial </w:t>
      </w:r>
      <w:r w:rsidRPr="0025590B" w:rsidR="00A2406A">
        <w:rPr>
          <w:lang w:val="en-GB"/>
        </w:rPr>
        <w:t xml:space="preserve">procedure for recognising </w:t>
      </w:r>
      <w:r w:rsidRPr="0025590B" w:rsidR="00D53A9A">
        <w:rPr>
          <w:lang w:val="en-GB"/>
        </w:rPr>
        <w:t>the gender identity of transgender persons as applicable at the relevant time</w:t>
      </w:r>
      <w:r w:rsidRPr="0025590B" w:rsidR="00A2406A">
        <w:rPr>
          <w:lang w:val="en-GB"/>
        </w:rPr>
        <w:t>,</w:t>
      </w:r>
      <w:r w:rsidRPr="0025590B" w:rsidR="00D53A9A">
        <w:rPr>
          <w:lang w:val="en-GB"/>
        </w:rPr>
        <w:t xml:space="preserve"> which placed the applicant for an unreasonable length of time in an anomalous position </w:t>
      </w:r>
      <w:r w:rsidRPr="0025590B" w:rsidR="00C932B0">
        <w:rPr>
          <w:lang w:val="en-GB"/>
        </w:rPr>
        <w:t xml:space="preserve">in which she was </w:t>
      </w:r>
      <w:r w:rsidRPr="0025590B" w:rsidR="00A2406A">
        <w:rPr>
          <w:lang w:val="en-GB"/>
        </w:rPr>
        <w:t xml:space="preserve">apt to </w:t>
      </w:r>
      <w:r w:rsidRPr="0025590B" w:rsidR="00C932B0">
        <w:rPr>
          <w:lang w:val="en-GB"/>
        </w:rPr>
        <w:t xml:space="preserve">experience </w:t>
      </w:r>
      <w:r w:rsidRPr="0025590B" w:rsidR="00D53A9A">
        <w:rPr>
          <w:lang w:val="en-GB"/>
        </w:rPr>
        <w:t xml:space="preserve">feelings of vulnerability, humiliation and anxiety (see, </w:t>
      </w:r>
      <w:r w:rsidRPr="0025590B" w:rsidR="00D53A9A">
        <w:rPr>
          <w:i/>
          <w:lang w:val="en-GB"/>
        </w:rPr>
        <w:t xml:space="preserve">mutatis mutandis, </w:t>
      </w:r>
      <w:r w:rsidRPr="0025590B">
        <w:rPr>
          <w:i/>
          <w:lang w:val="en-GB"/>
        </w:rPr>
        <w:t>Christine Goodwin</w:t>
      </w:r>
      <w:r w:rsidRPr="0025590B">
        <w:rPr>
          <w:lang w:val="en-GB"/>
        </w:rPr>
        <w:t xml:space="preserve">, </w:t>
      </w:r>
      <w:r w:rsidRPr="0025590B" w:rsidR="00D53A9A">
        <w:rPr>
          <w:lang w:val="en-GB"/>
        </w:rPr>
        <w:t>cited above</w:t>
      </w:r>
      <w:r w:rsidRPr="0025590B">
        <w:rPr>
          <w:lang w:val="en-GB"/>
        </w:rPr>
        <w:t>, §§ 77-78).</w:t>
      </w:r>
    </w:p>
    <w:p w:rsidRPr="0025590B" w:rsidR="00D53A9A"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73</w:t>
      </w:r>
      <w:r w:rsidRPr="0025590B">
        <w:rPr>
          <w:lang w:val="en-GB"/>
        </w:rPr>
        <w:fldChar w:fldCharType="end"/>
      </w:r>
      <w:r w:rsidRPr="0025590B">
        <w:rPr>
          <w:lang w:val="en-GB"/>
        </w:rPr>
        <w:t>.  </w:t>
      </w:r>
      <w:r w:rsidRPr="0025590B" w:rsidR="00D53A9A">
        <w:rPr>
          <w:lang w:val="en-GB"/>
        </w:rPr>
        <w:t xml:space="preserve">The Court refers to Recommendation CM/Rec(2010)5 </w:t>
      </w:r>
      <w:r w:rsidRPr="0025590B" w:rsidR="00D53A9A">
        <w:rPr>
          <w:bCs/>
          <w:lang w:val="en-GB"/>
        </w:rPr>
        <w:t xml:space="preserve">on measures to combat discrimination on grounds of sexual orientation or gender identity, in which the Committee of Ministers </w:t>
      </w:r>
      <w:r w:rsidRPr="0025590B" w:rsidR="0045162A">
        <w:rPr>
          <w:bCs/>
          <w:lang w:val="en-GB"/>
        </w:rPr>
        <w:t>urged</w:t>
      </w:r>
      <w:r w:rsidRPr="0025590B" w:rsidR="00D53A9A">
        <w:rPr>
          <w:bCs/>
          <w:lang w:val="en-GB"/>
        </w:rPr>
        <w:t xml:space="preserve"> States </w:t>
      </w:r>
      <w:r w:rsidRPr="0025590B" w:rsidR="00EE6BD7">
        <w:rPr>
          <w:bCs/>
          <w:lang w:val="en-GB"/>
        </w:rPr>
        <w:t>to</w:t>
      </w:r>
      <w:r w:rsidRPr="0025590B" w:rsidR="00D53A9A">
        <w:rPr>
          <w:bCs/>
          <w:lang w:val="en-GB"/>
        </w:rPr>
        <w:t xml:space="preserve"> make possible the change of name and gender in official documents in a quick, transparent and accessible way (see paragraph 25 above).</w:t>
      </w:r>
    </w:p>
    <w:p w:rsidRPr="0025590B" w:rsidR="0025590B"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74</w:t>
      </w:r>
      <w:r w:rsidRPr="0025590B">
        <w:rPr>
          <w:lang w:val="en-GB"/>
        </w:rPr>
        <w:fldChar w:fldCharType="end"/>
      </w:r>
      <w:r w:rsidRPr="0025590B">
        <w:rPr>
          <w:lang w:val="en-GB"/>
        </w:rPr>
        <w:t>.  </w:t>
      </w:r>
      <w:r w:rsidRPr="0025590B" w:rsidR="00D53A9A">
        <w:rPr>
          <w:lang w:val="en-GB"/>
        </w:rPr>
        <w:t>The Court also observes with interest that Legislative Decree no. 150 of 2011 amended section 3 of Law no. 164 of 1982, with the result that a second court ruling</w:t>
      </w:r>
      <w:r w:rsidRPr="0025590B" w:rsidR="00AA3825">
        <w:rPr>
          <w:lang w:val="en-GB"/>
        </w:rPr>
        <w:t>, after surgery,</w:t>
      </w:r>
      <w:r w:rsidRPr="0025590B" w:rsidR="00D53A9A">
        <w:rPr>
          <w:lang w:val="en-GB"/>
        </w:rPr>
        <w:t xml:space="preserve"> is no longer required in proceedings </w:t>
      </w:r>
      <w:r w:rsidRPr="0025590B" w:rsidR="00A2406A">
        <w:rPr>
          <w:lang w:val="en-GB"/>
        </w:rPr>
        <w:t>concerning</w:t>
      </w:r>
      <w:r w:rsidRPr="0025590B" w:rsidR="00930CE9">
        <w:rPr>
          <w:lang w:val="en-GB"/>
        </w:rPr>
        <w:t xml:space="preserve"> a change of</w:t>
      </w:r>
      <w:r w:rsidRPr="0025590B" w:rsidR="00A2406A">
        <w:rPr>
          <w:lang w:val="en-GB"/>
        </w:rPr>
        <w:t xml:space="preserve"> legal gender </w:t>
      </w:r>
      <w:r w:rsidRPr="0025590B" w:rsidR="00930CE9">
        <w:rPr>
          <w:lang w:val="en-GB"/>
        </w:rPr>
        <w:t>status</w:t>
      </w:r>
      <w:r w:rsidRPr="0025590B" w:rsidR="00A2406A">
        <w:rPr>
          <w:lang w:val="en-GB"/>
        </w:rPr>
        <w:t xml:space="preserve">, as the amendment of the civil-status records can be ordered by the judge when giving the decision authorising </w:t>
      </w:r>
      <w:r w:rsidRPr="0025590B" w:rsidR="0045162A">
        <w:rPr>
          <w:lang w:val="en-GB"/>
        </w:rPr>
        <w:t xml:space="preserve">the </w:t>
      </w:r>
      <w:r w:rsidRPr="0025590B" w:rsidR="00A2406A">
        <w:rPr>
          <w:lang w:val="en-GB"/>
        </w:rPr>
        <w:t>surgery (see paragraph 20 above).</w:t>
      </w:r>
    </w:p>
    <w:p w:rsidRPr="0025590B" w:rsidR="00A2406A"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75</w:t>
      </w:r>
      <w:r w:rsidRPr="0025590B">
        <w:rPr>
          <w:lang w:val="en-GB"/>
        </w:rPr>
        <w:fldChar w:fldCharType="end"/>
      </w:r>
      <w:r w:rsidRPr="0025590B">
        <w:rPr>
          <w:lang w:val="en-GB"/>
        </w:rPr>
        <w:t>.  </w:t>
      </w:r>
      <w:r w:rsidRPr="0025590B" w:rsidR="00A2406A">
        <w:rPr>
          <w:lang w:val="en-GB"/>
        </w:rPr>
        <w:t>Accordingly, in view of the foregoing, the Court considers that the applicant</w:t>
      </w:r>
      <w:r w:rsidRPr="0025590B" w:rsidR="0025590B">
        <w:rPr>
          <w:lang w:val="en-GB"/>
        </w:rPr>
        <w:t>’</w:t>
      </w:r>
      <w:r w:rsidRPr="0025590B" w:rsidR="00A2406A">
        <w:rPr>
          <w:lang w:val="en-GB"/>
        </w:rPr>
        <w:t xml:space="preserve">s inability to obtain a </w:t>
      </w:r>
      <w:r w:rsidRPr="0025590B" w:rsidR="0045162A">
        <w:rPr>
          <w:lang w:val="en-GB"/>
        </w:rPr>
        <w:t>change of forename over a period of two and a half years, on the grounds that the gender transition process had not been completed by means of gender reassignment surgery, amounts in the circumstances of the present case to a failure on the part of the respondent State to comply with its positive obligation to secure the applicant</w:t>
      </w:r>
      <w:r w:rsidRPr="0025590B" w:rsidR="0025590B">
        <w:rPr>
          <w:lang w:val="en-GB"/>
        </w:rPr>
        <w:t>’</w:t>
      </w:r>
      <w:r w:rsidRPr="0025590B" w:rsidR="0045162A">
        <w:rPr>
          <w:lang w:val="en-GB"/>
        </w:rPr>
        <w:t>s right to respect for her private life.</w:t>
      </w:r>
    </w:p>
    <w:p w:rsidRPr="0025590B" w:rsidR="0045162A" w:rsidP="0025590B" w:rsidRDefault="0045162A">
      <w:pPr>
        <w:pStyle w:val="ECHRPara"/>
        <w:rPr>
          <w:lang w:val="en-GB"/>
        </w:rPr>
      </w:pPr>
      <w:r w:rsidRPr="0025590B">
        <w:rPr>
          <w:lang w:val="en-GB"/>
        </w:rPr>
        <w:t>There has therefore been a violation of Article 8 of the Convention.</w:t>
      </w:r>
    </w:p>
    <w:p w:rsidRPr="0025590B" w:rsidR="001962A0" w:rsidP="0025590B" w:rsidRDefault="00684353">
      <w:pPr>
        <w:pStyle w:val="ECHRHeading1"/>
        <w:rPr>
          <w:lang w:val="en-GB"/>
        </w:rPr>
      </w:pPr>
      <w:r w:rsidRPr="0025590B">
        <w:rPr>
          <w:lang w:val="en-GB"/>
        </w:rPr>
        <w:t>II</w:t>
      </w:r>
      <w:r w:rsidRPr="0025590B" w:rsidR="001962A0">
        <w:rPr>
          <w:lang w:val="en-GB"/>
        </w:rPr>
        <w:t xml:space="preserve">.  ALLEGED VIOLATION OF ARTICLE </w:t>
      </w:r>
      <w:r w:rsidRPr="0025590B">
        <w:rPr>
          <w:lang w:val="en-GB"/>
        </w:rPr>
        <w:t>14</w:t>
      </w:r>
      <w:r w:rsidRPr="0025590B" w:rsidR="001962A0">
        <w:rPr>
          <w:lang w:val="en-GB"/>
        </w:rPr>
        <w:t xml:space="preserve"> OF THE CONVENTION</w:t>
      </w:r>
    </w:p>
    <w:p w:rsidRPr="0025590B" w:rsidR="0045162A"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76</w:t>
      </w:r>
      <w:r w:rsidRPr="0025590B">
        <w:rPr>
          <w:lang w:val="en-GB"/>
        </w:rPr>
        <w:fldChar w:fldCharType="end"/>
      </w:r>
      <w:r w:rsidRPr="0025590B">
        <w:rPr>
          <w:lang w:val="en-GB"/>
        </w:rPr>
        <w:t>.  </w:t>
      </w:r>
      <w:r w:rsidRPr="0025590B" w:rsidR="0045162A">
        <w:rPr>
          <w:lang w:val="en-GB"/>
        </w:rPr>
        <w:t xml:space="preserve">The applicant alleged a violation of Article 14 </w:t>
      </w:r>
      <w:r w:rsidRPr="0025590B" w:rsidR="00BE3AFD">
        <w:rPr>
          <w:lang w:val="en-GB"/>
        </w:rPr>
        <w:t>read</w:t>
      </w:r>
      <w:r w:rsidRPr="0025590B" w:rsidR="0045162A">
        <w:rPr>
          <w:lang w:val="en-GB"/>
        </w:rPr>
        <w:t xml:space="preserve"> in conjunction with Article 8 of the Convention.</w:t>
      </w:r>
    </w:p>
    <w:p w:rsidRPr="0025590B" w:rsidR="00684353"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77</w:t>
      </w:r>
      <w:r w:rsidRPr="0025590B">
        <w:rPr>
          <w:lang w:val="en-GB"/>
        </w:rPr>
        <w:fldChar w:fldCharType="end"/>
      </w:r>
      <w:r w:rsidRPr="0025590B">
        <w:rPr>
          <w:lang w:val="en-GB"/>
        </w:rPr>
        <w:t>.  </w:t>
      </w:r>
      <w:r w:rsidRPr="0025590B" w:rsidR="0045162A">
        <w:rPr>
          <w:lang w:val="en-GB"/>
        </w:rPr>
        <w:t>The Court notes that this part of the application is not manifestly ill</w:t>
      </w:r>
      <w:r w:rsidRPr="0025590B" w:rsidR="00E91685">
        <w:rPr>
          <w:lang w:val="en-GB"/>
        </w:rPr>
        <w:noBreakHyphen/>
      </w:r>
      <w:r w:rsidRPr="0025590B" w:rsidR="0045162A">
        <w:rPr>
          <w:lang w:val="en-GB"/>
        </w:rPr>
        <w:t xml:space="preserve">founded within the meaning of Article 35 § 3 (a) of the Convention and is not inadmissible on any other grounds. It should therefore be declared admissible. However, in view of its finding concerning Article 8 (see paragraph 74 above), </w:t>
      </w:r>
      <w:r w:rsidRPr="0025590B" w:rsidR="00BE3AFD">
        <w:rPr>
          <w:lang w:val="en-GB"/>
        </w:rPr>
        <w:t>the Court</w:t>
      </w:r>
      <w:r w:rsidRPr="0025590B" w:rsidR="0045162A">
        <w:rPr>
          <w:lang w:val="en-GB"/>
        </w:rPr>
        <w:t xml:space="preserve"> considers it unnecessary to examine whether there has been a violation in the present case of the provision relied on </w:t>
      </w:r>
      <w:r w:rsidRPr="0025590B">
        <w:rPr>
          <w:lang w:val="en-GB"/>
        </w:rPr>
        <w:t>(</w:t>
      </w:r>
      <w:r w:rsidRPr="0025590B" w:rsidR="0045162A">
        <w:rPr>
          <w:lang w:val="en-GB"/>
        </w:rPr>
        <w:t xml:space="preserve">see </w:t>
      </w:r>
      <w:r w:rsidRPr="0025590B">
        <w:rPr>
          <w:i/>
          <w:lang w:val="en-GB"/>
        </w:rPr>
        <w:t>A.P.,</w:t>
      </w:r>
      <w:r w:rsidRPr="0025590B" w:rsidR="00F52CC8">
        <w:rPr>
          <w:i/>
          <w:lang w:val="en-GB"/>
        </w:rPr>
        <w:t xml:space="preserve"> </w:t>
      </w:r>
      <w:r w:rsidRPr="0025590B">
        <w:rPr>
          <w:i/>
          <w:lang w:val="en-GB"/>
        </w:rPr>
        <w:t xml:space="preserve">Garçon </w:t>
      </w:r>
      <w:r w:rsidRPr="0025590B" w:rsidR="0045162A">
        <w:rPr>
          <w:i/>
          <w:lang w:val="en-GB"/>
        </w:rPr>
        <w:t>and</w:t>
      </w:r>
      <w:r w:rsidRPr="0025590B">
        <w:rPr>
          <w:i/>
          <w:lang w:val="en-GB"/>
        </w:rPr>
        <w:t xml:space="preserve"> Nicot</w:t>
      </w:r>
      <w:r w:rsidRPr="0025590B">
        <w:rPr>
          <w:lang w:val="en-GB"/>
        </w:rPr>
        <w:t xml:space="preserve">, </w:t>
      </w:r>
      <w:r w:rsidRPr="0025590B" w:rsidR="0045162A">
        <w:rPr>
          <w:lang w:val="en-GB"/>
        </w:rPr>
        <w:t>cited above</w:t>
      </w:r>
      <w:r w:rsidRPr="0025590B">
        <w:rPr>
          <w:lang w:val="en-GB"/>
        </w:rPr>
        <w:t>, § 158).</w:t>
      </w:r>
    </w:p>
    <w:p w:rsidRPr="0025590B" w:rsidR="001962A0" w:rsidP="0025590B" w:rsidRDefault="00684353">
      <w:pPr>
        <w:pStyle w:val="ECHRHeading1"/>
        <w:rPr>
          <w:lang w:val="en-GB"/>
        </w:rPr>
      </w:pPr>
      <w:r w:rsidRPr="0025590B">
        <w:rPr>
          <w:lang w:val="en-GB"/>
        </w:rPr>
        <w:t>III</w:t>
      </w:r>
      <w:r w:rsidRPr="0025590B" w:rsidR="001962A0">
        <w:rPr>
          <w:lang w:val="en-GB"/>
        </w:rPr>
        <w:t>.  APPLICATION OF ARTICLE 41 OF THE CONVENTION</w:t>
      </w:r>
    </w:p>
    <w:p w:rsidRPr="0025590B" w:rsidR="001962A0" w:rsidP="0025590B" w:rsidRDefault="00684353">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78</w:t>
      </w:r>
      <w:r w:rsidRPr="0025590B">
        <w:rPr>
          <w:lang w:val="en-GB"/>
        </w:rPr>
        <w:fldChar w:fldCharType="end"/>
      </w:r>
      <w:r w:rsidRPr="0025590B">
        <w:rPr>
          <w:lang w:val="en-GB"/>
        </w:rPr>
        <w:t>.  </w:t>
      </w:r>
      <w:r w:rsidRPr="0025590B" w:rsidR="001962A0">
        <w:rPr>
          <w:lang w:val="en-GB"/>
        </w:rPr>
        <w:t>Article 41 of the Convention provides:</w:t>
      </w:r>
    </w:p>
    <w:p w:rsidRPr="0025590B" w:rsidR="001962A0" w:rsidP="0025590B" w:rsidRDefault="001962A0">
      <w:pPr>
        <w:pStyle w:val="ECHRParaQuote"/>
        <w:keepNext/>
        <w:keepLines/>
        <w:rPr>
          <w:lang w:val="en-GB"/>
        </w:rPr>
      </w:pPr>
      <w:r w:rsidRPr="0025590B">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25590B" w:rsidR="001962A0" w:rsidP="0025590B" w:rsidRDefault="001962A0">
      <w:pPr>
        <w:pStyle w:val="ECHRHeading2"/>
        <w:rPr>
          <w:lang w:val="en-GB"/>
        </w:rPr>
      </w:pPr>
      <w:r w:rsidRPr="0025590B">
        <w:rPr>
          <w:lang w:val="en-GB"/>
        </w:rPr>
        <w:t>A.  Damage</w:t>
      </w:r>
    </w:p>
    <w:p w:rsidRPr="0025590B" w:rsidR="001962A0"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79</w:t>
      </w:r>
      <w:r w:rsidRPr="0025590B">
        <w:rPr>
          <w:lang w:val="en-GB"/>
        </w:rPr>
        <w:fldChar w:fldCharType="end"/>
      </w:r>
      <w:r w:rsidRPr="0025590B">
        <w:rPr>
          <w:lang w:val="en-GB"/>
        </w:rPr>
        <w:t>.  </w:t>
      </w:r>
      <w:r w:rsidRPr="0025590B" w:rsidR="001962A0">
        <w:rPr>
          <w:lang w:val="en-GB"/>
        </w:rPr>
        <w:t xml:space="preserve">The </w:t>
      </w:r>
      <w:r w:rsidRPr="0025590B" w:rsidR="001962A0">
        <w:rPr>
          <w:szCs w:val="24"/>
          <w:lang w:val="en-GB"/>
        </w:rPr>
        <w:t>applicant</w:t>
      </w:r>
      <w:r w:rsidRPr="0025590B" w:rsidR="001962A0">
        <w:rPr>
          <w:lang w:val="en-GB"/>
        </w:rPr>
        <w:t xml:space="preserve"> claimed </w:t>
      </w:r>
      <w:r w:rsidRPr="0025590B" w:rsidR="00684353">
        <w:rPr>
          <w:lang w:val="en-GB"/>
        </w:rPr>
        <w:t>10,000</w:t>
      </w:r>
      <w:r w:rsidRPr="0025590B" w:rsidR="001962A0">
        <w:rPr>
          <w:lang w:val="en-GB"/>
        </w:rPr>
        <w:t xml:space="preserve"> euros (EUR) in respect of non</w:t>
      </w:r>
      <w:r w:rsidRPr="0025590B" w:rsidR="00E91685">
        <w:rPr>
          <w:lang w:val="en-GB"/>
        </w:rPr>
        <w:noBreakHyphen/>
      </w:r>
      <w:r w:rsidRPr="0025590B" w:rsidR="001962A0">
        <w:rPr>
          <w:lang w:val="en-GB"/>
        </w:rPr>
        <w:t>pecuniary damage.</w:t>
      </w:r>
    </w:p>
    <w:p w:rsidRPr="0025590B" w:rsidR="001962A0"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80</w:t>
      </w:r>
      <w:r w:rsidRPr="0025590B">
        <w:rPr>
          <w:lang w:val="en-GB"/>
        </w:rPr>
        <w:fldChar w:fldCharType="end"/>
      </w:r>
      <w:r w:rsidRPr="0025590B">
        <w:rPr>
          <w:lang w:val="en-GB"/>
        </w:rPr>
        <w:t>.  </w:t>
      </w:r>
      <w:r w:rsidRPr="0025590B" w:rsidR="001962A0">
        <w:rPr>
          <w:lang w:val="en-GB"/>
        </w:rPr>
        <w:t xml:space="preserve">The Government </w:t>
      </w:r>
      <w:r w:rsidRPr="0025590B" w:rsidR="00684353">
        <w:rPr>
          <w:lang w:val="en-GB"/>
        </w:rPr>
        <w:t>contested that claim.</w:t>
      </w:r>
    </w:p>
    <w:p w:rsidRPr="0025590B" w:rsidR="00684353"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81</w:t>
      </w:r>
      <w:r w:rsidRPr="0025590B">
        <w:rPr>
          <w:lang w:val="en-GB"/>
        </w:rPr>
        <w:fldChar w:fldCharType="end"/>
      </w:r>
      <w:r w:rsidRPr="0025590B">
        <w:rPr>
          <w:lang w:val="en-GB"/>
        </w:rPr>
        <w:t>.  </w:t>
      </w:r>
      <w:r w:rsidRPr="0025590B" w:rsidR="001962A0">
        <w:rPr>
          <w:lang w:val="en-GB"/>
        </w:rPr>
        <w:t xml:space="preserve">The Court </w:t>
      </w:r>
      <w:r w:rsidRPr="0025590B" w:rsidR="00684353">
        <w:rPr>
          <w:lang w:val="en-GB"/>
        </w:rPr>
        <w:t>considers in the circumstances of the present case that its finding of a violation of Article 8 of the Convention constitutes in itself sufficient just satisfaction.</w:t>
      </w:r>
    </w:p>
    <w:p w:rsidRPr="0025590B" w:rsidR="001962A0" w:rsidP="0025590B" w:rsidRDefault="001962A0">
      <w:pPr>
        <w:pStyle w:val="ECHRHeading2"/>
        <w:rPr>
          <w:lang w:val="en-GB"/>
        </w:rPr>
      </w:pPr>
      <w:r w:rsidRPr="0025590B">
        <w:rPr>
          <w:lang w:val="en-GB"/>
        </w:rPr>
        <w:t>B.  Costs and expenses</w:t>
      </w:r>
    </w:p>
    <w:p w:rsidRPr="0025590B" w:rsidR="001962A0"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82</w:t>
      </w:r>
      <w:r w:rsidRPr="0025590B">
        <w:rPr>
          <w:lang w:val="en-GB"/>
        </w:rPr>
        <w:fldChar w:fldCharType="end"/>
      </w:r>
      <w:r w:rsidRPr="0025590B">
        <w:rPr>
          <w:lang w:val="en-GB"/>
        </w:rPr>
        <w:t>.  </w:t>
      </w:r>
      <w:r w:rsidRPr="0025590B" w:rsidR="001962A0">
        <w:rPr>
          <w:lang w:val="en-GB"/>
        </w:rPr>
        <w:t xml:space="preserve">The </w:t>
      </w:r>
      <w:r w:rsidRPr="0025590B" w:rsidR="001962A0">
        <w:rPr>
          <w:szCs w:val="24"/>
          <w:lang w:val="en-GB"/>
        </w:rPr>
        <w:t>applicant</w:t>
      </w:r>
      <w:r w:rsidRPr="0025590B" w:rsidR="001962A0">
        <w:rPr>
          <w:lang w:val="en-GB"/>
        </w:rPr>
        <w:t xml:space="preserve"> also claimed EUR </w:t>
      </w:r>
      <w:r w:rsidRPr="0025590B" w:rsidR="00684353">
        <w:rPr>
          <w:lang w:val="en-GB"/>
        </w:rPr>
        <w:t>1,200</w:t>
      </w:r>
      <w:r w:rsidRPr="0025590B" w:rsidR="001962A0">
        <w:rPr>
          <w:lang w:val="en-GB"/>
        </w:rPr>
        <w:t xml:space="preserve"> for the costs and expenses incurred before the domestic courts and EUR </w:t>
      </w:r>
      <w:r w:rsidRPr="0025590B" w:rsidR="00684353">
        <w:rPr>
          <w:lang w:val="en-GB"/>
        </w:rPr>
        <w:t xml:space="preserve">10,000, or such other amount as the Court deemed equitable, </w:t>
      </w:r>
      <w:r w:rsidRPr="0025590B" w:rsidR="001962A0">
        <w:rPr>
          <w:lang w:val="en-GB"/>
        </w:rPr>
        <w:t>for those incurred before the Court.</w:t>
      </w:r>
    </w:p>
    <w:p w:rsidRPr="0025590B" w:rsidR="001962A0"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83</w:t>
      </w:r>
      <w:r w:rsidRPr="0025590B">
        <w:rPr>
          <w:lang w:val="en-GB"/>
        </w:rPr>
        <w:fldChar w:fldCharType="end"/>
      </w:r>
      <w:r w:rsidRPr="0025590B">
        <w:rPr>
          <w:lang w:val="en-GB"/>
        </w:rPr>
        <w:t>.  </w:t>
      </w:r>
      <w:r w:rsidRPr="0025590B" w:rsidR="001962A0">
        <w:rPr>
          <w:lang w:val="en-GB"/>
        </w:rPr>
        <w:t xml:space="preserve">The Government </w:t>
      </w:r>
      <w:r w:rsidRPr="0025590B" w:rsidR="00684353">
        <w:rPr>
          <w:lang w:val="en-GB"/>
        </w:rPr>
        <w:t>did not submit any observations on this point.</w:t>
      </w:r>
    </w:p>
    <w:p w:rsidRPr="0025590B" w:rsidR="001962A0"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84</w:t>
      </w:r>
      <w:r w:rsidRPr="0025590B">
        <w:rPr>
          <w:lang w:val="en-GB"/>
        </w:rPr>
        <w:fldChar w:fldCharType="end"/>
      </w:r>
      <w:r w:rsidRPr="0025590B">
        <w:rPr>
          <w:lang w:val="en-GB"/>
        </w:rPr>
        <w:t>.  </w:t>
      </w:r>
      <w:r w:rsidRPr="0025590B" w:rsidR="001962A0">
        <w:rPr>
          <w:lang w:val="en-GB"/>
        </w:rPr>
        <w:t>According to the Court</w:t>
      </w:r>
      <w:r w:rsidRPr="0025590B" w:rsidR="0025590B">
        <w:rPr>
          <w:lang w:val="en-GB"/>
        </w:rPr>
        <w:t>’</w:t>
      </w:r>
      <w:r w:rsidRPr="0025590B" w:rsidR="001962A0">
        <w:rPr>
          <w:lang w:val="en-GB"/>
        </w:rPr>
        <w:t xml:space="preserve">s case-law, an applicant is entitled to the reimbursement of costs and expenses only in so far as it has been shown that these </w:t>
      </w:r>
      <w:r w:rsidRPr="0025590B" w:rsidR="00684353">
        <w:rPr>
          <w:lang w:val="en-GB"/>
        </w:rPr>
        <w:t>were</w:t>
      </w:r>
      <w:r w:rsidRPr="0025590B" w:rsidR="001962A0">
        <w:rPr>
          <w:lang w:val="en-GB"/>
        </w:rPr>
        <w:t xml:space="preserve"> actually and necessarily incurred and are reasonable as to quantum. In the present case, regard being had to the documents in its possession and </w:t>
      </w:r>
      <w:r w:rsidRPr="0025590B" w:rsidR="004C4180">
        <w:rPr>
          <w:lang w:val="en-GB"/>
        </w:rPr>
        <w:t>its case-law</w:t>
      </w:r>
      <w:r w:rsidRPr="0025590B" w:rsidR="001962A0">
        <w:rPr>
          <w:lang w:val="en-GB"/>
        </w:rPr>
        <w:t xml:space="preserve">, the Court considers it reasonable to award the </w:t>
      </w:r>
      <w:r w:rsidRPr="0025590B" w:rsidR="004C4180">
        <w:rPr>
          <w:lang w:val="en-GB"/>
        </w:rPr>
        <w:t xml:space="preserve">overall </w:t>
      </w:r>
      <w:r w:rsidRPr="0025590B" w:rsidR="001962A0">
        <w:rPr>
          <w:lang w:val="en-GB"/>
        </w:rPr>
        <w:t xml:space="preserve">sum of EUR </w:t>
      </w:r>
      <w:r w:rsidRPr="0025590B" w:rsidR="004C4180">
        <w:rPr>
          <w:lang w:val="en-GB"/>
        </w:rPr>
        <w:t>2,500</w:t>
      </w:r>
      <w:r w:rsidRPr="0025590B" w:rsidR="001962A0">
        <w:rPr>
          <w:lang w:val="en-GB"/>
        </w:rPr>
        <w:t xml:space="preserve"> covering costs under all heads.</w:t>
      </w:r>
    </w:p>
    <w:p w:rsidRPr="0025590B" w:rsidR="001962A0" w:rsidP="0025590B" w:rsidRDefault="001962A0">
      <w:pPr>
        <w:pStyle w:val="ECHRHeading2"/>
        <w:rPr>
          <w:lang w:val="en-GB"/>
        </w:rPr>
      </w:pPr>
      <w:r w:rsidRPr="0025590B">
        <w:rPr>
          <w:lang w:val="en-GB"/>
        </w:rPr>
        <w:t>C.  Default interest</w:t>
      </w:r>
    </w:p>
    <w:p w:rsidRPr="0025590B" w:rsidR="001962A0" w:rsidP="0025590B" w:rsidRDefault="00FA6646">
      <w:pPr>
        <w:pStyle w:val="ECHRPara"/>
        <w:rPr>
          <w:lang w:val="en-GB"/>
        </w:rPr>
      </w:pPr>
      <w:r w:rsidRPr="0025590B">
        <w:rPr>
          <w:lang w:val="en-GB"/>
        </w:rPr>
        <w:fldChar w:fldCharType="begin"/>
      </w:r>
      <w:r w:rsidRPr="0025590B">
        <w:rPr>
          <w:lang w:val="en-GB"/>
        </w:rPr>
        <w:instrText xml:space="preserve"> SEQ level0 \*arabic </w:instrText>
      </w:r>
      <w:r w:rsidRPr="0025590B">
        <w:rPr>
          <w:lang w:val="en-GB"/>
        </w:rPr>
        <w:fldChar w:fldCharType="separate"/>
      </w:r>
      <w:r w:rsidRPr="0025590B" w:rsidR="0025590B">
        <w:rPr>
          <w:noProof/>
          <w:lang w:val="en-GB"/>
        </w:rPr>
        <w:t>85</w:t>
      </w:r>
      <w:r w:rsidRPr="0025590B">
        <w:rPr>
          <w:lang w:val="en-GB"/>
        </w:rPr>
        <w:fldChar w:fldCharType="end"/>
      </w:r>
      <w:r w:rsidRPr="0025590B">
        <w:rPr>
          <w:lang w:val="en-GB"/>
        </w:rPr>
        <w:t>.  </w:t>
      </w:r>
      <w:r w:rsidRPr="0025590B" w:rsidR="001962A0">
        <w:rPr>
          <w:lang w:val="en-GB"/>
        </w:rPr>
        <w:t>The Court considers it appropriate that the default interest rate should be based on the marginal lending rate of the European Central Bank, to which should be added three percentage points.</w:t>
      </w:r>
    </w:p>
    <w:p w:rsidRPr="0025590B" w:rsidR="001962A0" w:rsidP="0025590B" w:rsidRDefault="001962A0">
      <w:pPr>
        <w:pStyle w:val="ECHRTitle1"/>
        <w:rPr>
          <w:lang w:val="en-GB"/>
        </w:rPr>
      </w:pPr>
      <w:r w:rsidRPr="0025590B">
        <w:rPr>
          <w:lang w:val="en-GB"/>
        </w:rPr>
        <w:t>FOR THESE REASONS, THE COURT, UNANIMOUSLY,</w:t>
      </w:r>
    </w:p>
    <w:p w:rsidRPr="0025590B" w:rsidR="001962A0" w:rsidP="0025590B" w:rsidRDefault="001962A0">
      <w:pPr>
        <w:pStyle w:val="JuList"/>
        <w:ind w:left="0" w:firstLine="0"/>
        <w:rPr>
          <w:lang w:val="en-GB"/>
        </w:rPr>
      </w:pPr>
      <w:r w:rsidRPr="0025590B">
        <w:rPr>
          <w:lang w:val="en-GB"/>
        </w:rPr>
        <w:t>1.  </w:t>
      </w:r>
      <w:r w:rsidRPr="0025590B">
        <w:rPr>
          <w:i/>
          <w:lang w:val="en-GB"/>
        </w:rPr>
        <w:t>Declares</w:t>
      </w:r>
      <w:r w:rsidRPr="0025590B" w:rsidR="004C4180">
        <w:rPr>
          <w:i/>
          <w:lang w:val="en-GB"/>
        </w:rPr>
        <w:t xml:space="preserve"> </w:t>
      </w:r>
      <w:r w:rsidRPr="0025590B">
        <w:rPr>
          <w:lang w:val="en-GB"/>
        </w:rPr>
        <w:t>the application admissible;</w:t>
      </w:r>
    </w:p>
    <w:p w:rsidRPr="0025590B" w:rsidR="001962A0" w:rsidP="0025590B" w:rsidRDefault="001962A0">
      <w:pPr>
        <w:pStyle w:val="JuList"/>
        <w:ind w:left="0" w:firstLine="0"/>
        <w:rPr>
          <w:lang w:val="en-GB"/>
        </w:rPr>
      </w:pPr>
    </w:p>
    <w:p w:rsidRPr="0025590B" w:rsidR="001962A0" w:rsidP="0025590B" w:rsidRDefault="004C4180">
      <w:pPr>
        <w:pStyle w:val="JuList"/>
        <w:rPr>
          <w:lang w:val="en-GB"/>
        </w:rPr>
      </w:pPr>
      <w:r w:rsidRPr="0025590B">
        <w:rPr>
          <w:lang w:val="en-GB"/>
        </w:rPr>
        <w:t>2.  </w:t>
      </w:r>
      <w:r w:rsidRPr="0025590B" w:rsidR="001962A0">
        <w:rPr>
          <w:i/>
          <w:lang w:val="en-GB"/>
        </w:rPr>
        <w:t>Holds</w:t>
      </w:r>
      <w:r w:rsidRPr="0025590B" w:rsidR="001962A0">
        <w:rPr>
          <w:color w:val="000000"/>
          <w:lang w:val="en-GB"/>
        </w:rPr>
        <w:t xml:space="preserve"> </w:t>
      </w:r>
      <w:r w:rsidRPr="0025590B" w:rsidR="001962A0">
        <w:rPr>
          <w:lang w:val="en-GB"/>
        </w:rPr>
        <w:t xml:space="preserve">that there has been a violation of Article </w:t>
      </w:r>
      <w:r w:rsidRPr="0025590B">
        <w:rPr>
          <w:lang w:val="en-GB"/>
        </w:rPr>
        <w:t>8</w:t>
      </w:r>
      <w:r w:rsidRPr="0025590B" w:rsidR="001962A0">
        <w:rPr>
          <w:lang w:val="en-GB"/>
        </w:rPr>
        <w:t xml:space="preserve"> of the Convention;</w:t>
      </w:r>
    </w:p>
    <w:p w:rsidRPr="0025590B" w:rsidR="001962A0" w:rsidP="0025590B" w:rsidRDefault="001962A0">
      <w:pPr>
        <w:pStyle w:val="JuList"/>
        <w:rPr>
          <w:lang w:val="en-GB"/>
        </w:rPr>
      </w:pPr>
    </w:p>
    <w:p w:rsidRPr="0025590B" w:rsidR="001962A0" w:rsidP="0025590B" w:rsidRDefault="004C4180">
      <w:pPr>
        <w:pStyle w:val="JuList"/>
        <w:rPr>
          <w:lang w:val="en-GB"/>
        </w:rPr>
      </w:pPr>
      <w:r w:rsidRPr="0025590B">
        <w:rPr>
          <w:lang w:val="en-GB"/>
        </w:rPr>
        <w:t>3</w:t>
      </w:r>
      <w:r w:rsidRPr="0025590B" w:rsidR="001962A0">
        <w:rPr>
          <w:lang w:val="en-GB"/>
        </w:rPr>
        <w:t>.  </w:t>
      </w:r>
      <w:r w:rsidRPr="0025590B" w:rsidR="001962A0">
        <w:rPr>
          <w:i/>
          <w:lang w:val="en-GB"/>
        </w:rPr>
        <w:t>Holds</w:t>
      </w:r>
      <w:r w:rsidRPr="0025590B" w:rsidR="001962A0">
        <w:rPr>
          <w:color w:val="000000"/>
          <w:lang w:val="en-GB"/>
        </w:rPr>
        <w:t xml:space="preserve"> </w:t>
      </w:r>
      <w:r w:rsidRPr="0025590B" w:rsidR="001962A0">
        <w:rPr>
          <w:lang w:val="en-GB"/>
        </w:rPr>
        <w:t xml:space="preserve">that there is no need to examine the complaint under Article </w:t>
      </w:r>
      <w:r w:rsidRPr="0025590B">
        <w:rPr>
          <w:lang w:val="en-GB"/>
        </w:rPr>
        <w:t>14</w:t>
      </w:r>
      <w:r w:rsidRPr="0025590B" w:rsidR="001962A0">
        <w:rPr>
          <w:lang w:val="en-GB"/>
        </w:rPr>
        <w:t xml:space="preserve"> of the Convention;</w:t>
      </w:r>
    </w:p>
    <w:p w:rsidRPr="0025590B" w:rsidR="001962A0" w:rsidP="0025590B" w:rsidRDefault="001962A0">
      <w:pPr>
        <w:pStyle w:val="JuList"/>
        <w:rPr>
          <w:lang w:val="en-GB"/>
        </w:rPr>
      </w:pPr>
    </w:p>
    <w:p w:rsidRPr="0025590B" w:rsidR="001962A0" w:rsidP="0025590B" w:rsidRDefault="004C4180">
      <w:pPr>
        <w:pStyle w:val="JuList"/>
        <w:rPr>
          <w:lang w:val="en-GB"/>
        </w:rPr>
      </w:pPr>
      <w:r w:rsidRPr="0025590B">
        <w:rPr>
          <w:lang w:val="en-GB"/>
        </w:rPr>
        <w:t>4</w:t>
      </w:r>
      <w:r w:rsidRPr="0025590B" w:rsidR="001962A0">
        <w:rPr>
          <w:lang w:val="en-GB"/>
        </w:rPr>
        <w:t>.  </w:t>
      </w:r>
      <w:r w:rsidRPr="0025590B" w:rsidR="001962A0">
        <w:rPr>
          <w:i/>
          <w:lang w:val="en-GB"/>
        </w:rPr>
        <w:t>Holds</w:t>
      </w:r>
      <w:r w:rsidRPr="0025590B" w:rsidR="001962A0">
        <w:rPr>
          <w:color w:val="000000"/>
          <w:lang w:val="en-GB"/>
        </w:rPr>
        <w:t xml:space="preserve"> </w:t>
      </w:r>
      <w:r w:rsidRPr="0025590B" w:rsidR="001962A0">
        <w:rPr>
          <w:lang w:val="en-GB"/>
        </w:rPr>
        <w:t xml:space="preserve">that the finding of a violation constitutes in itself sufficient just satisfaction for the non-pecuniary damage sustained by the </w:t>
      </w:r>
      <w:r w:rsidRPr="0025590B" w:rsidR="001962A0">
        <w:rPr>
          <w:szCs w:val="24"/>
          <w:lang w:val="en-GB"/>
        </w:rPr>
        <w:t>applicant</w:t>
      </w:r>
      <w:r w:rsidRPr="0025590B" w:rsidR="001962A0">
        <w:rPr>
          <w:lang w:val="en-GB"/>
        </w:rPr>
        <w:t>;</w:t>
      </w:r>
    </w:p>
    <w:p w:rsidRPr="0025590B" w:rsidR="001962A0" w:rsidP="0025590B" w:rsidRDefault="001962A0">
      <w:pPr>
        <w:pStyle w:val="JuList"/>
        <w:rPr>
          <w:lang w:val="en-GB"/>
        </w:rPr>
      </w:pPr>
    </w:p>
    <w:p w:rsidRPr="0025590B" w:rsidR="001962A0" w:rsidP="0025590B" w:rsidRDefault="004C4180">
      <w:pPr>
        <w:pStyle w:val="JuList"/>
        <w:rPr>
          <w:lang w:val="en-GB"/>
        </w:rPr>
      </w:pPr>
      <w:r w:rsidRPr="0025590B">
        <w:rPr>
          <w:lang w:val="en-GB"/>
        </w:rPr>
        <w:t>5</w:t>
      </w:r>
      <w:r w:rsidRPr="0025590B" w:rsidR="001962A0">
        <w:rPr>
          <w:lang w:val="en-GB"/>
        </w:rPr>
        <w:t>.  </w:t>
      </w:r>
      <w:r w:rsidRPr="0025590B" w:rsidR="001962A0">
        <w:rPr>
          <w:i/>
          <w:lang w:val="en-GB"/>
        </w:rPr>
        <w:t>Holds</w:t>
      </w:r>
    </w:p>
    <w:p w:rsidRPr="0025590B" w:rsidR="001962A0" w:rsidP="0025590B" w:rsidRDefault="001962A0">
      <w:pPr>
        <w:pStyle w:val="JuLista"/>
        <w:rPr>
          <w:lang w:val="en-GB"/>
        </w:rPr>
      </w:pPr>
      <w:r w:rsidRPr="0025590B">
        <w:rPr>
          <w:lang w:val="en-GB"/>
        </w:rPr>
        <w:t xml:space="preserve">(a)  that the respondent State is to pay the </w:t>
      </w:r>
      <w:r w:rsidRPr="0025590B">
        <w:rPr>
          <w:szCs w:val="24"/>
          <w:lang w:val="en-GB"/>
        </w:rPr>
        <w:t>applicant</w:t>
      </w:r>
      <w:r w:rsidRPr="0025590B">
        <w:rPr>
          <w:lang w:val="en-GB"/>
        </w:rPr>
        <w:t xml:space="preserve">, within three months from the date on which the judgment becomes final in accordance with Article 44 § 2 of the Convention, </w:t>
      </w:r>
      <w:r w:rsidRPr="0025590B" w:rsidR="004C4180">
        <w:rPr>
          <w:lang w:val="en-GB"/>
        </w:rPr>
        <w:t>EUR 2,500 (two thousand five hundred euros)</w:t>
      </w:r>
      <w:r w:rsidRPr="0025590B">
        <w:rPr>
          <w:lang w:val="en-GB"/>
        </w:rPr>
        <w:t>,</w:t>
      </w:r>
      <w:r w:rsidRPr="0025590B">
        <w:rPr>
          <w:b/>
          <w:lang w:val="en-GB"/>
        </w:rPr>
        <w:t xml:space="preserve"> </w:t>
      </w:r>
      <w:r w:rsidRPr="0025590B">
        <w:rPr>
          <w:lang w:val="en-GB"/>
        </w:rPr>
        <w:t xml:space="preserve">plus any tax that may be chargeable to the </w:t>
      </w:r>
      <w:r w:rsidRPr="0025590B">
        <w:rPr>
          <w:szCs w:val="24"/>
          <w:lang w:val="en-GB"/>
        </w:rPr>
        <w:t>applicant</w:t>
      </w:r>
      <w:r w:rsidRPr="0025590B">
        <w:rPr>
          <w:lang w:val="en-GB"/>
        </w:rPr>
        <w:t>, in respect of costs and expenses;</w:t>
      </w:r>
    </w:p>
    <w:p w:rsidRPr="0025590B" w:rsidR="001962A0" w:rsidP="0025590B" w:rsidRDefault="001962A0">
      <w:pPr>
        <w:pStyle w:val="JuLista"/>
        <w:rPr>
          <w:lang w:val="en-GB"/>
        </w:rPr>
      </w:pPr>
      <w:r w:rsidRPr="0025590B">
        <w:rPr>
          <w:lang w:val="en-GB"/>
        </w:rPr>
        <w:t>(b)  that from the expiry of the above-mentioned three months until settlement simple interest shall be payable on the above amount at a rate equal to the marginal lending rate of the European Central Bank during the default period plus three percentage points;</w:t>
      </w:r>
    </w:p>
    <w:p w:rsidRPr="0025590B" w:rsidR="001962A0" w:rsidP="0025590B" w:rsidRDefault="001962A0">
      <w:pPr>
        <w:pStyle w:val="JuList"/>
        <w:rPr>
          <w:lang w:val="en-GB"/>
        </w:rPr>
      </w:pPr>
    </w:p>
    <w:p w:rsidRPr="0025590B" w:rsidR="004D0EC7" w:rsidP="0025590B" w:rsidRDefault="004C4180">
      <w:pPr>
        <w:pStyle w:val="ECHRPara"/>
        <w:rPr>
          <w:lang w:val="en-GB"/>
        </w:rPr>
      </w:pPr>
      <w:r w:rsidRPr="0025590B">
        <w:rPr>
          <w:lang w:val="en-GB"/>
        </w:rPr>
        <w:t>6</w:t>
      </w:r>
      <w:r w:rsidRPr="0025590B" w:rsidR="001962A0">
        <w:rPr>
          <w:lang w:val="en-GB"/>
        </w:rPr>
        <w:t>.  </w:t>
      </w:r>
      <w:r w:rsidRPr="0025590B" w:rsidR="001962A0">
        <w:rPr>
          <w:i/>
          <w:lang w:val="en-GB"/>
        </w:rPr>
        <w:t>Dismisses</w:t>
      </w:r>
      <w:r w:rsidRPr="0025590B" w:rsidR="001962A0">
        <w:rPr>
          <w:color w:val="000000"/>
          <w:lang w:val="en-GB"/>
        </w:rPr>
        <w:t xml:space="preserve"> </w:t>
      </w:r>
      <w:r w:rsidRPr="0025590B" w:rsidR="001962A0">
        <w:rPr>
          <w:lang w:val="en-GB"/>
        </w:rPr>
        <w:t xml:space="preserve">the remainder of the </w:t>
      </w:r>
      <w:r w:rsidRPr="0025590B" w:rsidR="001962A0">
        <w:rPr>
          <w:szCs w:val="24"/>
          <w:lang w:val="en-GB"/>
        </w:rPr>
        <w:t>applicant</w:t>
      </w:r>
      <w:r w:rsidRPr="0025590B" w:rsidR="0025590B">
        <w:rPr>
          <w:szCs w:val="24"/>
          <w:lang w:val="en-GB"/>
        </w:rPr>
        <w:t>’</w:t>
      </w:r>
      <w:r w:rsidRPr="0025590B" w:rsidR="00BE3AFD">
        <w:rPr>
          <w:szCs w:val="24"/>
          <w:lang w:val="en-GB"/>
        </w:rPr>
        <w:t>s</w:t>
      </w:r>
      <w:r w:rsidRPr="0025590B" w:rsidR="001962A0">
        <w:rPr>
          <w:lang w:val="en-GB"/>
        </w:rPr>
        <w:t xml:space="preserve"> claim for just satisfaction.</w:t>
      </w:r>
    </w:p>
    <w:p w:rsidRPr="0025590B" w:rsidR="008E3A08" w:rsidP="0025590B" w:rsidRDefault="007E2C8C">
      <w:pPr>
        <w:pStyle w:val="JuParaLast"/>
        <w:rPr>
          <w:lang w:val="en-GB"/>
        </w:rPr>
      </w:pPr>
      <w:r w:rsidRPr="0025590B">
        <w:rPr>
          <w:lang w:val="en-GB"/>
        </w:rPr>
        <w:t xml:space="preserve">Done in </w:t>
      </w:r>
      <w:r w:rsidRPr="0025590B" w:rsidR="00BE3AFD">
        <w:rPr>
          <w:lang w:val="en-GB"/>
        </w:rPr>
        <w:t>French</w:t>
      </w:r>
      <w:r w:rsidRPr="0025590B">
        <w:rPr>
          <w:lang w:val="en-GB"/>
        </w:rPr>
        <w:t xml:space="preserve">, and notified in writing on </w:t>
      </w:r>
      <w:r w:rsidRPr="0025590B" w:rsidR="001962A0">
        <w:rPr>
          <w:rFonts w:ascii="Times New Roman" w:hAnsi="Times New Roman" w:cs="Times New Roman"/>
          <w:lang w:val="en-GB"/>
        </w:rPr>
        <w:t>11 October 2018</w:t>
      </w:r>
      <w:r w:rsidRPr="0025590B">
        <w:rPr>
          <w:lang w:val="en-GB"/>
        </w:rPr>
        <w:t>, pursuant to Rule 77 §§ 2 and 3 of the Rules of Court.</w:t>
      </w:r>
    </w:p>
    <w:p w:rsidRPr="0025590B" w:rsidR="002A613A" w:rsidP="0025590B" w:rsidRDefault="00BE3AFD">
      <w:pPr>
        <w:pStyle w:val="JuSigned"/>
        <w:rPr>
          <w:lang w:val="en-GB"/>
        </w:rPr>
      </w:pPr>
      <w:r w:rsidRPr="0025590B">
        <w:rPr>
          <w:lang w:val="en-GB"/>
        </w:rPr>
        <w:tab/>
      </w:r>
      <w:r w:rsidRPr="0025590B" w:rsidR="001962A0">
        <w:rPr>
          <w:lang w:val="en-GB"/>
        </w:rPr>
        <w:t>Abel Campos</w:t>
      </w:r>
      <w:r w:rsidRPr="0025590B" w:rsidR="005879A2">
        <w:rPr>
          <w:lang w:val="en-GB"/>
        </w:rPr>
        <w:t xml:space="preserve"> </w:t>
      </w:r>
      <w:r w:rsidRPr="0025590B" w:rsidR="009F4C8F">
        <w:rPr>
          <w:lang w:val="en-GB"/>
        </w:rPr>
        <w:tab/>
      </w:r>
      <w:r w:rsidRPr="0025590B" w:rsidR="001962A0">
        <w:rPr>
          <w:szCs w:val="24"/>
          <w:lang w:val="en-GB"/>
        </w:rPr>
        <w:t>Linos-Alexandre Sicilianos</w:t>
      </w:r>
      <w:r w:rsidRPr="0025590B" w:rsidR="009F4C8F">
        <w:rPr>
          <w:szCs w:val="24"/>
          <w:lang w:val="en-GB"/>
        </w:rPr>
        <w:br/>
      </w:r>
      <w:r w:rsidRPr="0025590B" w:rsidR="009F4C8F">
        <w:rPr>
          <w:lang w:val="en-GB"/>
        </w:rPr>
        <w:tab/>
      </w:r>
      <w:r w:rsidRPr="0025590B" w:rsidR="001962A0">
        <w:rPr>
          <w:iCs/>
          <w:lang w:val="en-GB"/>
        </w:rPr>
        <w:t>Registrar</w:t>
      </w:r>
      <w:r w:rsidRPr="0025590B" w:rsidR="00BA4009">
        <w:rPr>
          <w:lang w:val="en-GB"/>
        </w:rPr>
        <w:tab/>
      </w:r>
      <w:r w:rsidRPr="0025590B" w:rsidR="009F4C8F">
        <w:rPr>
          <w:lang w:val="en-GB"/>
        </w:rPr>
        <w:t>President</w:t>
      </w:r>
    </w:p>
    <w:p w:rsidRPr="0025590B" w:rsidR="0025590B" w:rsidP="0025590B" w:rsidRDefault="0025590B">
      <w:pPr>
        <w:pStyle w:val="JuParaLast"/>
        <w:rPr>
          <w:lang w:val="en-GB"/>
        </w:rPr>
      </w:pPr>
    </w:p>
    <w:sectPr w:rsidRPr="0025590B" w:rsidR="0025590B" w:rsidSect="000B7195">
      <w:headerReference w:type="even" r:id="rId11"/>
      <w:headerReference w:type="default" r:id="rId12"/>
      <w:footerReference w:type="even" r:id="rId13"/>
      <w:footerReference w:type="default" r:id="rId14"/>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AAD" w:rsidRPr="00085457" w:rsidRDefault="00541AAD" w:rsidP="0098410D">
      <w:pPr>
        <w:rPr>
          <w:lang w:val="en-GB"/>
        </w:rPr>
      </w:pPr>
      <w:r w:rsidRPr="00085457">
        <w:rPr>
          <w:lang w:val="en-GB"/>
        </w:rPr>
        <w:separator/>
      </w:r>
    </w:p>
  </w:endnote>
  <w:endnote w:type="continuationSeparator" w:id="0">
    <w:p w:rsidR="00541AAD" w:rsidRPr="00085457" w:rsidRDefault="00541AAD" w:rsidP="0098410D">
      <w:pPr>
        <w:rPr>
          <w:lang w:val="en-GB"/>
        </w:rPr>
      </w:pPr>
      <w:r w:rsidRPr="00085457">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Pr="00150BFA" w:rsidRDefault="00541AAD" w:rsidP="00684353">
    <w:pPr>
      <w:jc w:val="center"/>
    </w:pPr>
    <w:r>
      <w:rPr>
        <w:noProof/>
        <w:lang w:eastAsia="ja-JP"/>
      </w:rPr>
      <w:drawing>
        <wp:inline distT="0" distB="0" distL="0" distR="0" wp14:anchorId="211E043A" wp14:editId="1794EE6E">
          <wp:extent cx="771525" cy="619125"/>
          <wp:effectExtent l="0" t="0" r="9525" b="9525"/>
          <wp:docPr id="33" name="Picture 3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541AAD" w:rsidRPr="00085457" w:rsidRDefault="00541AAD" w:rsidP="00684353">
    <w:pPr>
      <w:pStyle w:val="Footer"/>
      <w:jc w:val="center"/>
      <w:rPr>
        <w:sz w:val="4"/>
        <w:szCs w:val="4"/>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Default="00541A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Pr="000B7195" w:rsidRDefault="00541AAD" w:rsidP="00684353">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AAD" w:rsidRPr="00085457" w:rsidRDefault="00541AAD" w:rsidP="0098410D">
      <w:pPr>
        <w:rPr>
          <w:lang w:val="en-GB"/>
        </w:rPr>
      </w:pPr>
      <w:r w:rsidRPr="00085457">
        <w:rPr>
          <w:lang w:val="en-GB"/>
        </w:rPr>
        <w:separator/>
      </w:r>
    </w:p>
  </w:footnote>
  <w:footnote w:type="continuationSeparator" w:id="0">
    <w:p w:rsidR="00541AAD" w:rsidRPr="00085457" w:rsidRDefault="00541AAD" w:rsidP="0098410D">
      <w:pPr>
        <w:rPr>
          <w:lang w:val="en-GB"/>
        </w:rPr>
      </w:pPr>
      <w:r w:rsidRPr="00085457">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Pr="00A45145" w:rsidRDefault="00541AAD" w:rsidP="00684353">
    <w:pPr>
      <w:jc w:val="center"/>
    </w:pPr>
    <w:r>
      <w:rPr>
        <w:noProof/>
        <w:lang w:eastAsia="ja-JP"/>
      </w:rPr>
      <w:drawing>
        <wp:inline distT="0" distB="0" distL="0" distR="0" wp14:anchorId="339D7685" wp14:editId="3AD89021">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541AAD" w:rsidRPr="00085457" w:rsidRDefault="00541AAD" w:rsidP="00684353">
    <w:pPr>
      <w:jc w:val="center"/>
      <w:rPr>
        <w:sz w:val="4"/>
        <w:szCs w:val="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Pr="00A45145" w:rsidRDefault="00541AAD" w:rsidP="00684353">
    <w:pPr>
      <w:jc w:val="center"/>
    </w:pPr>
    <w:r>
      <w:rPr>
        <w:noProof/>
        <w:lang w:eastAsia="ja-JP"/>
      </w:rPr>
      <w:drawing>
        <wp:inline distT="0" distB="0" distL="0" distR="0" wp14:anchorId="478B9EC5" wp14:editId="5256B6DE">
          <wp:extent cx="2962275" cy="1219200"/>
          <wp:effectExtent l="0" t="0" r="9525" b="0"/>
          <wp:docPr id="31" name="Picture 3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541AAD" w:rsidRPr="00085457" w:rsidRDefault="00541AAD">
    <w:pP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Pr="004D0EC7" w:rsidRDefault="00541AAD" w:rsidP="004D0EC7">
    <w:pPr>
      <w:pStyle w:val="ECHRHeader"/>
      <w:rPr>
        <w:lang w:val="en-GB"/>
      </w:rPr>
    </w:pPr>
    <w:r>
      <w:rPr>
        <w:rStyle w:val="PageNumber"/>
        <w:lang w:val="en-GB"/>
      </w:rPr>
      <w:fldChar w:fldCharType="begin"/>
    </w:r>
    <w:r>
      <w:rPr>
        <w:rStyle w:val="PageNumber"/>
        <w:lang w:val="en-GB"/>
      </w:rPr>
      <w:instrText xml:space="preserve"> PAGE </w:instrText>
    </w:r>
    <w:r>
      <w:rPr>
        <w:rStyle w:val="PageNumber"/>
        <w:lang w:val="en-GB"/>
      </w:rPr>
      <w:fldChar w:fldCharType="separate"/>
    </w:r>
    <w:r w:rsidR="0025590B">
      <w:rPr>
        <w:rStyle w:val="PageNumber"/>
        <w:noProof/>
        <w:lang w:val="en-GB"/>
      </w:rPr>
      <w:t>16</w:t>
    </w:r>
    <w:r>
      <w:rPr>
        <w:rStyle w:val="PageNumber"/>
        <w:lang w:val="en-GB"/>
      </w:rPr>
      <w:fldChar w:fldCharType="end"/>
    </w:r>
    <w:r w:rsidRPr="004D0EC7">
      <w:rPr>
        <w:lang w:val="en-GB"/>
      </w:rPr>
      <w:tab/>
    </w:r>
    <w:r>
      <w:rPr>
        <w:lang w:val="en-GB"/>
      </w:rPr>
      <w:t>S.V. v. ITALY</w:t>
    </w:r>
    <w:r w:rsidRPr="004D0EC7">
      <w:rPr>
        <w:lang w:val="en-GB"/>
      </w:rPr>
      <w:t xml:space="preserve"> </w:t>
    </w:r>
    <w:r>
      <w:rPr>
        <w:lang w:val="en-GB"/>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AAD" w:rsidRPr="00882CD5" w:rsidRDefault="00541AAD" w:rsidP="00882CD5">
    <w:pPr>
      <w:pStyle w:val="ECHRHeader"/>
      <w:rPr>
        <w:lang w:val="en-GB"/>
      </w:rPr>
    </w:pPr>
    <w:r w:rsidRPr="00882CD5">
      <w:rPr>
        <w:lang w:val="en-GB"/>
      </w:rPr>
      <w:tab/>
    </w:r>
    <w:r>
      <w:rPr>
        <w:lang w:val="en-GB"/>
      </w:rPr>
      <w:t>S.V. v. ITALY</w:t>
    </w:r>
    <w:r w:rsidRPr="00882CD5">
      <w:rPr>
        <w:lang w:val="en-GB"/>
      </w:rPr>
      <w:t xml:space="preserve"> JUDGMENT</w:t>
    </w:r>
    <w:r w:rsidRPr="00882CD5">
      <w:rPr>
        <w:lang w:val="en-GB"/>
      </w:rPr>
      <w:tab/>
    </w:r>
    <w:r>
      <w:rPr>
        <w:rStyle w:val="PageNumber"/>
        <w:lang w:val="en-GB"/>
      </w:rPr>
      <w:fldChar w:fldCharType="begin"/>
    </w:r>
    <w:r>
      <w:rPr>
        <w:rStyle w:val="PageNumber"/>
        <w:lang w:val="en-GB"/>
      </w:rPr>
      <w:instrText xml:space="preserve"> PAGE </w:instrText>
    </w:r>
    <w:r>
      <w:rPr>
        <w:rStyle w:val="PageNumber"/>
        <w:lang w:val="en-GB"/>
      </w:rPr>
      <w:fldChar w:fldCharType="separate"/>
    </w:r>
    <w:r w:rsidR="0025590B">
      <w:rPr>
        <w:rStyle w:val="PageNumber"/>
        <w:noProof/>
        <w:lang w:val="en-GB"/>
      </w:rPr>
      <w:t>17</w:t>
    </w:r>
    <w:r>
      <w:rPr>
        <w:rStyle w:val="PageNumber"/>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licationsApp" w:val="1"/>
    <w:docVar w:name="dgnword-docGUID" w:val="{3D6CB07E-FE71-4D8C-A45C-ECEE355739A9}"/>
    <w:docVar w:name="dgnword-eventsink" w:val="373834448"/>
    <w:docVar w:name="EMM" w:val="0"/>
    <w:docVar w:name="NBEMMDOC" w:val="0"/>
  </w:docVars>
  <w:rsids>
    <w:rsidRoot w:val="001962A0"/>
    <w:rsid w:val="000010DB"/>
    <w:rsid w:val="000041F8"/>
    <w:rsid w:val="000042A8"/>
    <w:rsid w:val="00004308"/>
    <w:rsid w:val="00005BF0"/>
    <w:rsid w:val="00007154"/>
    <w:rsid w:val="000103AE"/>
    <w:rsid w:val="00011D69"/>
    <w:rsid w:val="00012AD3"/>
    <w:rsid w:val="00015C2D"/>
    <w:rsid w:val="00015F00"/>
    <w:rsid w:val="00021881"/>
    <w:rsid w:val="00022C1D"/>
    <w:rsid w:val="0003391A"/>
    <w:rsid w:val="00034987"/>
    <w:rsid w:val="00041560"/>
    <w:rsid w:val="000602DF"/>
    <w:rsid w:val="00061B05"/>
    <w:rsid w:val="000632D5"/>
    <w:rsid w:val="000644EE"/>
    <w:rsid w:val="00065485"/>
    <w:rsid w:val="00085457"/>
    <w:rsid w:val="000925AD"/>
    <w:rsid w:val="00096FE1"/>
    <w:rsid w:val="00097A62"/>
    <w:rsid w:val="000A24EB"/>
    <w:rsid w:val="000B023E"/>
    <w:rsid w:val="000B686A"/>
    <w:rsid w:val="000B6923"/>
    <w:rsid w:val="000B7195"/>
    <w:rsid w:val="000C5F3C"/>
    <w:rsid w:val="000C6DCC"/>
    <w:rsid w:val="000D47AA"/>
    <w:rsid w:val="000D4E17"/>
    <w:rsid w:val="000D53E0"/>
    <w:rsid w:val="000D721F"/>
    <w:rsid w:val="000E069B"/>
    <w:rsid w:val="000E0E82"/>
    <w:rsid w:val="000E1DC5"/>
    <w:rsid w:val="000E223F"/>
    <w:rsid w:val="000E46B8"/>
    <w:rsid w:val="000E7D45"/>
    <w:rsid w:val="000F7851"/>
    <w:rsid w:val="00101505"/>
    <w:rsid w:val="00104E23"/>
    <w:rsid w:val="00110DA8"/>
    <w:rsid w:val="00111B0C"/>
    <w:rsid w:val="00120D6C"/>
    <w:rsid w:val="001257EC"/>
    <w:rsid w:val="00133D33"/>
    <w:rsid w:val="00134B6A"/>
    <w:rsid w:val="00134D64"/>
    <w:rsid w:val="00135A30"/>
    <w:rsid w:val="0013612C"/>
    <w:rsid w:val="00137FF6"/>
    <w:rsid w:val="00141650"/>
    <w:rsid w:val="001561B6"/>
    <w:rsid w:val="00162A12"/>
    <w:rsid w:val="00166530"/>
    <w:rsid w:val="00170027"/>
    <w:rsid w:val="00171314"/>
    <w:rsid w:val="00172812"/>
    <w:rsid w:val="001832BD"/>
    <w:rsid w:val="001943B5"/>
    <w:rsid w:val="00195134"/>
    <w:rsid w:val="001962A0"/>
    <w:rsid w:val="001A145B"/>
    <w:rsid w:val="001A674C"/>
    <w:rsid w:val="001B3B24"/>
    <w:rsid w:val="001C055B"/>
    <w:rsid w:val="001C0F98"/>
    <w:rsid w:val="001C2A42"/>
    <w:rsid w:val="001D002C"/>
    <w:rsid w:val="001D63ED"/>
    <w:rsid w:val="001D7348"/>
    <w:rsid w:val="001E035B"/>
    <w:rsid w:val="001E0961"/>
    <w:rsid w:val="001E3EAE"/>
    <w:rsid w:val="001E6857"/>
    <w:rsid w:val="001E6F32"/>
    <w:rsid w:val="001F2145"/>
    <w:rsid w:val="001F46CB"/>
    <w:rsid w:val="001F6262"/>
    <w:rsid w:val="001F67B0"/>
    <w:rsid w:val="001F7B3D"/>
    <w:rsid w:val="0020335A"/>
    <w:rsid w:val="002052BC"/>
    <w:rsid w:val="00205F9F"/>
    <w:rsid w:val="00210338"/>
    <w:rsid w:val="002115FC"/>
    <w:rsid w:val="0021423C"/>
    <w:rsid w:val="00223435"/>
    <w:rsid w:val="00230D00"/>
    <w:rsid w:val="00231DF7"/>
    <w:rsid w:val="00231FD1"/>
    <w:rsid w:val="002339E0"/>
    <w:rsid w:val="00233CF8"/>
    <w:rsid w:val="0023575D"/>
    <w:rsid w:val="00237148"/>
    <w:rsid w:val="00242105"/>
    <w:rsid w:val="0024222D"/>
    <w:rsid w:val="002422B6"/>
    <w:rsid w:val="00244B0E"/>
    <w:rsid w:val="00244F6C"/>
    <w:rsid w:val="00246B89"/>
    <w:rsid w:val="00247F1E"/>
    <w:rsid w:val="00250864"/>
    <w:rsid w:val="00252C4E"/>
    <w:rsid w:val="002532C5"/>
    <w:rsid w:val="00254DF2"/>
    <w:rsid w:val="00255701"/>
    <w:rsid w:val="0025590B"/>
    <w:rsid w:val="00257CF2"/>
    <w:rsid w:val="00260C03"/>
    <w:rsid w:val="00261D1A"/>
    <w:rsid w:val="0026540E"/>
    <w:rsid w:val="00275123"/>
    <w:rsid w:val="00282240"/>
    <w:rsid w:val="00287AD5"/>
    <w:rsid w:val="002934D0"/>
    <w:rsid w:val="002948AD"/>
    <w:rsid w:val="002A01CC"/>
    <w:rsid w:val="002A613A"/>
    <w:rsid w:val="002A61B1"/>
    <w:rsid w:val="002A663C"/>
    <w:rsid w:val="002B444B"/>
    <w:rsid w:val="002B5887"/>
    <w:rsid w:val="002B5F23"/>
    <w:rsid w:val="002C040F"/>
    <w:rsid w:val="002C0E27"/>
    <w:rsid w:val="002C3040"/>
    <w:rsid w:val="002C4433"/>
    <w:rsid w:val="002C7826"/>
    <w:rsid w:val="002C78D4"/>
    <w:rsid w:val="002C7EC3"/>
    <w:rsid w:val="002D022D"/>
    <w:rsid w:val="002D24BB"/>
    <w:rsid w:val="002D2FA7"/>
    <w:rsid w:val="002D47BA"/>
    <w:rsid w:val="002D77B9"/>
    <w:rsid w:val="002E46DA"/>
    <w:rsid w:val="002F2AF7"/>
    <w:rsid w:val="002F69C4"/>
    <w:rsid w:val="002F7D9E"/>
    <w:rsid w:val="002F7E1C"/>
    <w:rsid w:val="00301A75"/>
    <w:rsid w:val="00302F70"/>
    <w:rsid w:val="0030336F"/>
    <w:rsid w:val="0030375E"/>
    <w:rsid w:val="00312A30"/>
    <w:rsid w:val="00320F72"/>
    <w:rsid w:val="0032463E"/>
    <w:rsid w:val="00326224"/>
    <w:rsid w:val="0033427A"/>
    <w:rsid w:val="00337EE4"/>
    <w:rsid w:val="00340FFD"/>
    <w:rsid w:val="003431D9"/>
    <w:rsid w:val="00345C41"/>
    <w:rsid w:val="003506B1"/>
    <w:rsid w:val="0035085B"/>
    <w:rsid w:val="00355877"/>
    <w:rsid w:val="00356AC7"/>
    <w:rsid w:val="003609FA"/>
    <w:rsid w:val="00361248"/>
    <w:rsid w:val="003710C8"/>
    <w:rsid w:val="00373688"/>
    <w:rsid w:val="003750BE"/>
    <w:rsid w:val="00385F3D"/>
    <w:rsid w:val="00387B9D"/>
    <w:rsid w:val="00390294"/>
    <w:rsid w:val="0039364F"/>
    <w:rsid w:val="00396686"/>
    <w:rsid w:val="0039778E"/>
    <w:rsid w:val="003B2BDD"/>
    <w:rsid w:val="003B4941"/>
    <w:rsid w:val="003C5714"/>
    <w:rsid w:val="003C574A"/>
    <w:rsid w:val="003C6B9F"/>
    <w:rsid w:val="003C6E2A"/>
    <w:rsid w:val="003D0299"/>
    <w:rsid w:val="003E6D80"/>
    <w:rsid w:val="003F05FA"/>
    <w:rsid w:val="003F244A"/>
    <w:rsid w:val="003F2517"/>
    <w:rsid w:val="003F30B8"/>
    <w:rsid w:val="003F4C45"/>
    <w:rsid w:val="003F5F7B"/>
    <w:rsid w:val="003F7D64"/>
    <w:rsid w:val="00414300"/>
    <w:rsid w:val="00414F27"/>
    <w:rsid w:val="00420703"/>
    <w:rsid w:val="00425C67"/>
    <w:rsid w:val="00427E7A"/>
    <w:rsid w:val="004355AC"/>
    <w:rsid w:val="00436C49"/>
    <w:rsid w:val="00441F4D"/>
    <w:rsid w:val="00443D98"/>
    <w:rsid w:val="00445366"/>
    <w:rsid w:val="00447F5B"/>
    <w:rsid w:val="0045162A"/>
    <w:rsid w:val="00455900"/>
    <w:rsid w:val="00461DB0"/>
    <w:rsid w:val="00463424"/>
    <w:rsid w:val="00463926"/>
    <w:rsid w:val="00464C9A"/>
    <w:rsid w:val="00465397"/>
    <w:rsid w:val="00474F3D"/>
    <w:rsid w:val="00477E3A"/>
    <w:rsid w:val="00482E31"/>
    <w:rsid w:val="00483E5F"/>
    <w:rsid w:val="00485FF9"/>
    <w:rsid w:val="004907F0"/>
    <w:rsid w:val="0049140B"/>
    <w:rsid w:val="004923A5"/>
    <w:rsid w:val="0049310E"/>
    <w:rsid w:val="00496BFB"/>
    <w:rsid w:val="004A15C7"/>
    <w:rsid w:val="004A16E5"/>
    <w:rsid w:val="004B013B"/>
    <w:rsid w:val="004B112B"/>
    <w:rsid w:val="004B444E"/>
    <w:rsid w:val="004B740D"/>
    <w:rsid w:val="004C01E4"/>
    <w:rsid w:val="004C086C"/>
    <w:rsid w:val="004C1F56"/>
    <w:rsid w:val="004C27BC"/>
    <w:rsid w:val="004C4180"/>
    <w:rsid w:val="004C493D"/>
    <w:rsid w:val="004D0EC7"/>
    <w:rsid w:val="004D15F3"/>
    <w:rsid w:val="004D4EF1"/>
    <w:rsid w:val="004D5311"/>
    <w:rsid w:val="004D5DCC"/>
    <w:rsid w:val="004D7E45"/>
    <w:rsid w:val="004F10AF"/>
    <w:rsid w:val="004F11A4"/>
    <w:rsid w:val="004F2389"/>
    <w:rsid w:val="004F304D"/>
    <w:rsid w:val="004F61BE"/>
    <w:rsid w:val="004F66B1"/>
    <w:rsid w:val="00511C07"/>
    <w:rsid w:val="005125CB"/>
    <w:rsid w:val="00512A3F"/>
    <w:rsid w:val="00515228"/>
    <w:rsid w:val="005173A6"/>
    <w:rsid w:val="00520354"/>
    <w:rsid w:val="00520BAA"/>
    <w:rsid w:val="005217D8"/>
    <w:rsid w:val="00525208"/>
    <w:rsid w:val="005257A5"/>
    <w:rsid w:val="005264C0"/>
    <w:rsid w:val="00526A8A"/>
    <w:rsid w:val="00530FE6"/>
    <w:rsid w:val="00531DF2"/>
    <w:rsid w:val="00536D80"/>
    <w:rsid w:val="00537476"/>
    <w:rsid w:val="00541AAD"/>
    <w:rsid w:val="005442EE"/>
    <w:rsid w:val="005451BE"/>
    <w:rsid w:val="00545DA6"/>
    <w:rsid w:val="00547353"/>
    <w:rsid w:val="005474E7"/>
    <w:rsid w:val="005512A3"/>
    <w:rsid w:val="005578CE"/>
    <w:rsid w:val="005617D7"/>
    <w:rsid w:val="00562781"/>
    <w:rsid w:val="00562B6C"/>
    <w:rsid w:val="0057271C"/>
    <w:rsid w:val="00572845"/>
    <w:rsid w:val="005879A2"/>
    <w:rsid w:val="00592772"/>
    <w:rsid w:val="0059574A"/>
    <w:rsid w:val="005A1B9B"/>
    <w:rsid w:val="005A2E79"/>
    <w:rsid w:val="005A6751"/>
    <w:rsid w:val="005B092E"/>
    <w:rsid w:val="005B152C"/>
    <w:rsid w:val="005B1EE0"/>
    <w:rsid w:val="005B2B24"/>
    <w:rsid w:val="005B4425"/>
    <w:rsid w:val="005B4B94"/>
    <w:rsid w:val="005C3EE8"/>
    <w:rsid w:val="005C6B36"/>
    <w:rsid w:val="005D0642"/>
    <w:rsid w:val="005D228A"/>
    <w:rsid w:val="005D34F9"/>
    <w:rsid w:val="005D4190"/>
    <w:rsid w:val="005D67A3"/>
    <w:rsid w:val="005E2988"/>
    <w:rsid w:val="005E3085"/>
    <w:rsid w:val="005F02E7"/>
    <w:rsid w:val="005F51E1"/>
    <w:rsid w:val="00611C80"/>
    <w:rsid w:val="006164A3"/>
    <w:rsid w:val="00620692"/>
    <w:rsid w:val="0062262C"/>
    <w:rsid w:val="006242CA"/>
    <w:rsid w:val="006251CA"/>
    <w:rsid w:val="00627507"/>
    <w:rsid w:val="00633717"/>
    <w:rsid w:val="006344E1"/>
    <w:rsid w:val="00637F7A"/>
    <w:rsid w:val="00643524"/>
    <w:rsid w:val="0064393B"/>
    <w:rsid w:val="006545C4"/>
    <w:rsid w:val="00661971"/>
    <w:rsid w:val="00661CE8"/>
    <w:rsid w:val="006623D9"/>
    <w:rsid w:val="006642A5"/>
    <w:rsid w:val="00664EF1"/>
    <w:rsid w:val="0066550C"/>
    <w:rsid w:val="00665BD2"/>
    <w:rsid w:val="006716F2"/>
    <w:rsid w:val="00682BF2"/>
    <w:rsid w:val="00684353"/>
    <w:rsid w:val="0068573E"/>
    <w:rsid w:val="006859CE"/>
    <w:rsid w:val="00691270"/>
    <w:rsid w:val="00694BA8"/>
    <w:rsid w:val="006A037C"/>
    <w:rsid w:val="006A36F4"/>
    <w:rsid w:val="006A406F"/>
    <w:rsid w:val="006A5D3A"/>
    <w:rsid w:val="006B657E"/>
    <w:rsid w:val="006C23D4"/>
    <w:rsid w:val="006C7BB0"/>
    <w:rsid w:val="006D3237"/>
    <w:rsid w:val="006E2E37"/>
    <w:rsid w:val="006E3CF1"/>
    <w:rsid w:val="006E7201"/>
    <w:rsid w:val="006E7E80"/>
    <w:rsid w:val="006F48CA"/>
    <w:rsid w:val="006F64DD"/>
    <w:rsid w:val="006F712D"/>
    <w:rsid w:val="00715127"/>
    <w:rsid w:val="00715E8E"/>
    <w:rsid w:val="00723580"/>
    <w:rsid w:val="00723755"/>
    <w:rsid w:val="0073136C"/>
    <w:rsid w:val="00731F0F"/>
    <w:rsid w:val="00733250"/>
    <w:rsid w:val="00741404"/>
    <w:rsid w:val="007449E5"/>
    <w:rsid w:val="0074750E"/>
    <w:rsid w:val="00747FF0"/>
    <w:rsid w:val="00763602"/>
    <w:rsid w:val="00764D4E"/>
    <w:rsid w:val="00765A1F"/>
    <w:rsid w:val="00774702"/>
    <w:rsid w:val="00775B6D"/>
    <w:rsid w:val="00776D68"/>
    <w:rsid w:val="0078323E"/>
    <w:rsid w:val="007850EE"/>
    <w:rsid w:val="00785B95"/>
    <w:rsid w:val="00790E96"/>
    <w:rsid w:val="00793366"/>
    <w:rsid w:val="007A2957"/>
    <w:rsid w:val="007A716F"/>
    <w:rsid w:val="007B270A"/>
    <w:rsid w:val="007B4182"/>
    <w:rsid w:val="007B53D5"/>
    <w:rsid w:val="007C0695"/>
    <w:rsid w:val="007C419A"/>
    <w:rsid w:val="007C4CC8"/>
    <w:rsid w:val="007C5426"/>
    <w:rsid w:val="007C5798"/>
    <w:rsid w:val="007D1ECD"/>
    <w:rsid w:val="007D3980"/>
    <w:rsid w:val="007D4832"/>
    <w:rsid w:val="007E21B2"/>
    <w:rsid w:val="007E2C4E"/>
    <w:rsid w:val="007E2C8C"/>
    <w:rsid w:val="007E51BA"/>
    <w:rsid w:val="007F1905"/>
    <w:rsid w:val="00802C64"/>
    <w:rsid w:val="00803864"/>
    <w:rsid w:val="00804EF4"/>
    <w:rsid w:val="00805E52"/>
    <w:rsid w:val="008061D0"/>
    <w:rsid w:val="0080722B"/>
    <w:rsid w:val="00810B38"/>
    <w:rsid w:val="00816456"/>
    <w:rsid w:val="008204C7"/>
    <w:rsid w:val="00820992"/>
    <w:rsid w:val="00823602"/>
    <w:rsid w:val="008255F5"/>
    <w:rsid w:val="0083014E"/>
    <w:rsid w:val="0083214A"/>
    <w:rsid w:val="00834220"/>
    <w:rsid w:val="00845723"/>
    <w:rsid w:val="008519E7"/>
    <w:rsid w:val="00851EF9"/>
    <w:rsid w:val="008577FD"/>
    <w:rsid w:val="00860B03"/>
    <w:rsid w:val="0086497A"/>
    <w:rsid w:val="00867066"/>
    <w:rsid w:val="008713A1"/>
    <w:rsid w:val="00872584"/>
    <w:rsid w:val="008754AB"/>
    <w:rsid w:val="0088060C"/>
    <w:rsid w:val="00882CD5"/>
    <w:rsid w:val="00883151"/>
    <w:rsid w:val="00893576"/>
    <w:rsid w:val="00893E73"/>
    <w:rsid w:val="008A7A99"/>
    <w:rsid w:val="008B02DC"/>
    <w:rsid w:val="008B57CE"/>
    <w:rsid w:val="008C26DE"/>
    <w:rsid w:val="008C5165"/>
    <w:rsid w:val="008D2225"/>
    <w:rsid w:val="008D4752"/>
    <w:rsid w:val="008D5A13"/>
    <w:rsid w:val="008E271C"/>
    <w:rsid w:val="008E3A08"/>
    <w:rsid w:val="008E418E"/>
    <w:rsid w:val="008E49AA"/>
    <w:rsid w:val="008E5BC6"/>
    <w:rsid w:val="008E6217"/>
    <w:rsid w:val="008E6A25"/>
    <w:rsid w:val="008F2554"/>
    <w:rsid w:val="008F3AEC"/>
    <w:rsid w:val="008F3DE3"/>
    <w:rsid w:val="008F4D80"/>
    <w:rsid w:val="008F5193"/>
    <w:rsid w:val="008F6B36"/>
    <w:rsid w:val="009013A7"/>
    <w:rsid w:val="009017FB"/>
    <w:rsid w:val="009017FC"/>
    <w:rsid w:val="0090506B"/>
    <w:rsid w:val="009050C9"/>
    <w:rsid w:val="009066FC"/>
    <w:rsid w:val="009140A3"/>
    <w:rsid w:val="009144A2"/>
    <w:rsid w:val="0091510C"/>
    <w:rsid w:val="00924764"/>
    <w:rsid w:val="009259AC"/>
    <w:rsid w:val="00926F38"/>
    <w:rsid w:val="00927BEB"/>
    <w:rsid w:val="00930CE9"/>
    <w:rsid w:val="00934301"/>
    <w:rsid w:val="00936CD1"/>
    <w:rsid w:val="00941747"/>
    <w:rsid w:val="00941EFB"/>
    <w:rsid w:val="00947AFB"/>
    <w:rsid w:val="00951AA3"/>
    <w:rsid w:val="00951D7D"/>
    <w:rsid w:val="00956D0C"/>
    <w:rsid w:val="009630C7"/>
    <w:rsid w:val="00972B55"/>
    <w:rsid w:val="009743B7"/>
    <w:rsid w:val="0098228B"/>
    <w:rsid w:val="009828DA"/>
    <w:rsid w:val="0098410D"/>
    <w:rsid w:val="00985BAB"/>
    <w:rsid w:val="00986B3C"/>
    <w:rsid w:val="00987DF6"/>
    <w:rsid w:val="00993057"/>
    <w:rsid w:val="009A2EE5"/>
    <w:rsid w:val="009B1B5F"/>
    <w:rsid w:val="009B6673"/>
    <w:rsid w:val="009C191B"/>
    <w:rsid w:val="009C2BD6"/>
    <w:rsid w:val="009C2D69"/>
    <w:rsid w:val="009E1F32"/>
    <w:rsid w:val="009E2CC2"/>
    <w:rsid w:val="009E3865"/>
    <w:rsid w:val="009E776C"/>
    <w:rsid w:val="009F2520"/>
    <w:rsid w:val="009F4C8F"/>
    <w:rsid w:val="00A05588"/>
    <w:rsid w:val="00A1726E"/>
    <w:rsid w:val="00A204CF"/>
    <w:rsid w:val="00A21D2B"/>
    <w:rsid w:val="00A23D49"/>
    <w:rsid w:val="00A2406A"/>
    <w:rsid w:val="00A27004"/>
    <w:rsid w:val="00A308CE"/>
    <w:rsid w:val="00A30C29"/>
    <w:rsid w:val="00A326F0"/>
    <w:rsid w:val="00A34DD6"/>
    <w:rsid w:val="00A36819"/>
    <w:rsid w:val="00A36989"/>
    <w:rsid w:val="00A43628"/>
    <w:rsid w:val="00A44D87"/>
    <w:rsid w:val="00A51D0F"/>
    <w:rsid w:val="00A54192"/>
    <w:rsid w:val="00A57147"/>
    <w:rsid w:val="00A6035E"/>
    <w:rsid w:val="00A6144C"/>
    <w:rsid w:val="00A66617"/>
    <w:rsid w:val="00A671F8"/>
    <w:rsid w:val="00A673A4"/>
    <w:rsid w:val="00A724AE"/>
    <w:rsid w:val="00A73329"/>
    <w:rsid w:val="00A82359"/>
    <w:rsid w:val="00A8328C"/>
    <w:rsid w:val="00A84E09"/>
    <w:rsid w:val="00A865D2"/>
    <w:rsid w:val="00A90BCD"/>
    <w:rsid w:val="00A94C20"/>
    <w:rsid w:val="00AA1B09"/>
    <w:rsid w:val="00AA227F"/>
    <w:rsid w:val="00AA3825"/>
    <w:rsid w:val="00AA3BC7"/>
    <w:rsid w:val="00AA754A"/>
    <w:rsid w:val="00AB099E"/>
    <w:rsid w:val="00AB4328"/>
    <w:rsid w:val="00AE0A2E"/>
    <w:rsid w:val="00AE354C"/>
    <w:rsid w:val="00AF4B07"/>
    <w:rsid w:val="00AF6186"/>
    <w:rsid w:val="00AF7A3A"/>
    <w:rsid w:val="00B05180"/>
    <w:rsid w:val="00B160DB"/>
    <w:rsid w:val="00B20836"/>
    <w:rsid w:val="00B235BB"/>
    <w:rsid w:val="00B27A44"/>
    <w:rsid w:val="00B30BBF"/>
    <w:rsid w:val="00B33C03"/>
    <w:rsid w:val="00B3531C"/>
    <w:rsid w:val="00B4421F"/>
    <w:rsid w:val="00B44E56"/>
    <w:rsid w:val="00B457F0"/>
    <w:rsid w:val="00B45917"/>
    <w:rsid w:val="00B46543"/>
    <w:rsid w:val="00B47D33"/>
    <w:rsid w:val="00B52BE0"/>
    <w:rsid w:val="00B54133"/>
    <w:rsid w:val="00B55EB2"/>
    <w:rsid w:val="00B701ED"/>
    <w:rsid w:val="00B748F7"/>
    <w:rsid w:val="00B8086C"/>
    <w:rsid w:val="00B81C58"/>
    <w:rsid w:val="00B861B4"/>
    <w:rsid w:val="00B86DFE"/>
    <w:rsid w:val="00B87B5A"/>
    <w:rsid w:val="00B90990"/>
    <w:rsid w:val="00B922FF"/>
    <w:rsid w:val="00B9281E"/>
    <w:rsid w:val="00B93925"/>
    <w:rsid w:val="00B95187"/>
    <w:rsid w:val="00BA1DAF"/>
    <w:rsid w:val="00BA2D55"/>
    <w:rsid w:val="00BA4009"/>
    <w:rsid w:val="00BA71B1"/>
    <w:rsid w:val="00BB0637"/>
    <w:rsid w:val="00BB345F"/>
    <w:rsid w:val="00BB68EA"/>
    <w:rsid w:val="00BC0B99"/>
    <w:rsid w:val="00BC1C27"/>
    <w:rsid w:val="00BC6BBF"/>
    <w:rsid w:val="00BD1572"/>
    <w:rsid w:val="00BD2954"/>
    <w:rsid w:val="00BE14E3"/>
    <w:rsid w:val="00BE2488"/>
    <w:rsid w:val="00BE3774"/>
    <w:rsid w:val="00BE3AFD"/>
    <w:rsid w:val="00BE41E5"/>
    <w:rsid w:val="00BF118F"/>
    <w:rsid w:val="00BF4109"/>
    <w:rsid w:val="00BF4CC3"/>
    <w:rsid w:val="00C054C7"/>
    <w:rsid w:val="00C057B5"/>
    <w:rsid w:val="00C115C3"/>
    <w:rsid w:val="00C15547"/>
    <w:rsid w:val="00C22687"/>
    <w:rsid w:val="00C31C0C"/>
    <w:rsid w:val="00C32E4D"/>
    <w:rsid w:val="00C333A0"/>
    <w:rsid w:val="00C36A81"/>
    <w:rsid w:val="00C41974"/>
    <w:rsid w:val="00C44A2C"/>
    <w:rsid w:val="00C477F7"/>
    <w:rsid w:val="00C509A6"/>
    <w:rsid w:val="00C53F4A"/>
    <w:rsid w:val="00C54125"/>
    <w:rsid w:val="00C55B54"/>
    <w:rsid w:val="00C6098E"/>
    <w:rsid w:val="00C6152C"/>
    <w:rsid w:val="00C74810"/>
    <w:rsid w:val="00C90D68"/>
    <w:rsid w:val="00C932B0"/>
    <w:rsid w:val="00C939FE"/>
    <w:rsid w:val="00CA4BDA"/>
    <w:rsid w:val="00CB13E3"/>
    <w:rsid w:val="00CB1F66"/>
    <w:rsid w:val="00CB2951"/>
    <w:rsid w:val="00CB4277"/>
    <w:rsid w:val="00CB6345"/>
    <w:rsid w:val="00CC1AB7"/>
    <w:rsid w:val="00CC5067"/>
    <w:rsid w:val="00CD11D3"/>
    <w:rsid w:val="00CD282B"/>
    <w:rsid w:val="00CD2C33"/>
    <w:rsid w:val="00CD3C19"/>
    <w:rsid w:val="00CD4C35"/>
    <w:rsid w:val="00CD7369"/>
    <w:rsid w:val="00CE0B0E"/>
    <w:rsid w:val="00CE3831"/>
    <w:rsid w:val="00CF2397"/>
    <w:rsid w:val="00CF67D6"/>
    <w:rsid w:val="00D00ABB"/>
    <w:rsid w:val="00D02EEC"/>
    <w:rsid w:val="00D03551"/>
    <w:rsid w:val="00D06A63"/>
    <w:rsid w:val="00D07E0E"/>
    <w:rsid w:val="00D11478"/>
    <w:rsid w:val="00D15ED0"/>
    <w:rsid w:val="00D164BF"/>
    <w:rsid w:val="00D21B3E"/>
    <w:rsid w:val="00D21FED"/>
    <w:rsid w:val="00D23048"/>
    <w:rsid w:val="00D24251"/>
    <w:rsid w:val="00D26E72"/>
    <w:rsid w:val="00D343E2"/>
    <w:rsid w:val="00D34B67"/>
    <w:rsid w:val="00D361A2"/>
    <w:rsid w:val="00D44C2E"/>
    <w:rsid w:val="00D45414"/>
    <w:rsid w:val="00D50A0A"/>
    <w:rsid w:val="00D53A9A"/>
    <w:rsid w:val="00D566BD"/>
    <w:rsid w:val="00D57A4D"/>
    <w:rsid w:val="00D60AA7"/>
    <w:rsid w:val="00D6435F"/>
    <w:rsid w:val="00D70641"/>
    <w:rsid w:val="00D74888"/>
    <w:rsid w:val="00D75E28"/>
    <w:rsid w:val="00D772C2"/>
    <w:rsid w:val="00D8008E"/>
    <w:rsid w:val="00D82C45"/>
    <w:rsid w:val="00D908A8"/>
    <w:rsid w:val="00D977B6"/>
    <w:rsid w:val="00DA0A4A"/>
    <w:rsid w:val="00DA1223"/>
    <w:rsid w:val="00DA4A31"/>
    <w:rsid w:val="00DA7B04"/>
    <w:rsid w:val="00DB26D5"/>
    <w:rsid w:val="00DB36C2"/>
    <w:rsid w:val="00DC169B"/>
    <w:rsid w:val="00DC2AB9"/>
    <w:rsid w:val="00DC63F0"/>
    <w:rsid w:val="00DD37EA"/>
    <w:rsid w:val="00DD6EE5"/>
    <w:rsid w:val="00DE386C"/>
    <w:rsid w:val="00DE40C9"/>
    <w:rsid w:val="00DE4D35"/>
    <w:rsid w:val="00DE5658"/>
    <w:rsid w:val="00DF098B"/>
    <w:rsid w:val="00DF11C4"/>
    <w:rsid w:val="00DF210C"/>
    <w:rsid w:val="00DF3AE5"/>
    <w:rsid w:val="00DF4B6A"/>
    <w:rsid w:val="00E02C09"/>
    <w:rsid w:val="00E04D59"/>
    <w:rsid w:val="00E07DA1"/>
    <w:rsid w:val="00E123CB"/>
    <w:rsid w:val="00E13B09"/>
    <w:rsid w:val="00E20E13"/>
    <w:rsid w:val="00E21DBC"/>
    <w:rsid w:val="00E244D3"/>
    <w:rsid w:val="00E275D7"/>
    <w:rsid w:val="00E27DBE"/>
    <w:rsid w:val="00E32AB1"/>
    <w:rsid w:val="00E36C71"/>
    <w:rsid w:val="00E40404"/>
    <w:rsid w:val="00E4126A"/>
    <w:rsid w:val="00E42A06"/>
    <w:rsid w:val="00E459C6"/>
    <w:rsid w:val="00E47589"/>
    <w:rsid w:val="00E51DBF"/>
    <w:rsid w:val="00E63EC7"/>
    <w:rsid w:val="00E64915"/>
    <w:rsid w:val="00E64D3A"/>
    <w:rsid w:val="00E661D4"/>
    <w:rsid w:val="00E70091"/>
    <w:rsid w:val="00E70D2E"/>
    <w:rsid w:val="00E720F5"/>
    <w:rsid w:val="00E76D47"/>
    <w:rsid w:val="00E827BC"/>
    <w:rsid w:val="00E849F7"/>
    <w:rsid w:val="00E90302"/>
    <w:rsid w:val="00E91685"/>
    <w:rsid w:val="00E9370E"/>
    <w:rsid w:val="00E95C1E"/>
    <w:rsid w:val="00E97396"/>
    <w:rsid w:val="00EA185E"/>
    <w:rsid w:val="00EA592A"/>
    <w:rsid w:val="00EB14E4"/>
    <w:rsid w:val="00EB32A5"/>
    <w:rsid w:val="00EB34ED"/>
    <w:rsid w:val="00EB447C"/>
    <w:rsid w:val="00EB7BE0"/>
    <w:rsid w:val="00EC315E"/>
    <w:rsid w:val="00ED077C"/>
    <w:rsid w:val="00ED10A9"/>
    <w:rsid w:val="00ED1190"/>
    <w:rsid w:val="00ED6544"/>
    <w:rsid w:val="00EE0277"/>
    <w:rsid w:val="00EE2899"/>
    <w:rsid w:val="00EE3E00"/>
    <w:rsid w:val="00EE5DD2"/>
    <w:rsid w:val="00EE6BD7"/>
    <w:rsid w:val="00EF3DB4"/>
    <w:rsid w:val="00F00A79"/>
    <w:rsid w:val="00F00E86"/>
    <w:rsid w:val="00F07C1E"/>
    <w:rsid w:val="00F105DB"/>
    <w:rsid w:val="00F132BC"/>
    <w:rsid w:val="00F13D80"/>
    <w:rsid w:val="00F15B4D"/>
    <w:rsid w:val="00F16AAA"/>
    <w:rsid w:val="00F1709C"/>
    <w:rsid w:val="00F21161"/>
    <w:rsid w:val="00F218EF"/>
    <w:rsid w:val="00F21BC7"/>
    <w:rsid w:val="00F22E31"/>
    <w:rsid w:val="00F266A2"/>
    <w:rsid w:val="00F32269"/>
    <w:rsid w:val="00F35B7A"/>
    <w:rsid w:val="00F52CC8"/>
    <w:rsid w:val="00F56A6F"/>
    <w:rsid w:val="00F5709C"/>
    <w:rsid w:val="00F64EF1"/>
    <w:rsid w:val="00F7349B"/>
    <w:rsid w:val="00F8765F"/>
    <w:rsid w:val="00F90767"/>
    <w:rsid w:val="00FA1637"/>
    <w:rsid w:val="00FA63F2"/>
    <w:rsid w:val="00FA6646"/>
    <w:rsid w:val="00FA685B"/>
    <w:rsid w:val="00FB0C01"/>
    <w:rsid w:val="00FB1D04"/>
    <w:rsid w:val="00FB5934"/>
    <w:rsid w:val="00FC08EA"/>
    <w:rsid w:val="00FC18F2"/>
    <w:rsid w:val="00FC2A17"/>
    <w:rsid w:val="00FC38CF"/>
    <w:rsid w:val="00FC39E5"/>
    <w:rsid w:val="00FC3A78"/>
    <w:rsid w:val="00FC6244"/>
    <w:rsid w:val="00FD1005"/>
    <w:rsid w:val="00FD6C75"/>
    <w:rsid w:val="00FD7972"/>
    <w:rsid w:val="00FE71B3"/>
    <w:rsid w:val="00FF42C5"/>
    <w:rsid w:val="00FF7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64393B"/>
    <w:pPr>
      <w:jc w:val="both"/>
    </w:pPr>
    <w:rPr>
      <w:rFonts w:eastAsiaTheme="minorEastAsia"/>
      <w:sz w:val="24"/>
    </w:rPr>
  </w:style>
  <w:style w:type="paragraph" w:styleId="Heading1">
    <w:name w:val="heading 1"/>
    <w:basedOn w:val="Normal"/>
    <w:next w:val="Normal"/>
    <w:link w:val="Heading1Char"/>
    <w:uiPriority w:val="99"/>
    <w:semiHidden/>
    <w:rsid w:val="0064393B"/>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64393B"/>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64393B"/>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64393B"/>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64393B"/>
    <w:pPr>
      <w:spacing w:before="200"/>
      <w:outlineLvl w:val="4"/>
    </w:pPr>
    <w:rPr>
      <w:rFonts w:asciiTheme="majorHAnsi" w:eastAsiaTheme="majorEastAsia" w:hAnsiTheme="majorHAnsi" w:cstheme="majorBidi"/>
      <w:b/>
      <w:bCs/>
      <w:color w:val="808080"/>
    </w:rPr>
  </w:style>
  <w:style w:type="paragraph" w:styleId="Heading6">
    <w:name w:val="heading 6"/>
    <w:basedOn w:val="Normal"/>
    <w:next w:val="Normal"/>
    <w:link w:val="Heading6Char"/>
    <w:uiPriority w:val="99"/>
    <w:semiHidden/>
    <w:rsid w:val="0064393B"/>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64393B"/>
    <w:pPr>
      <w:outlineLvl w:val="6"/>
    </w:pPr>
    <w:rPr>
      <w:rFonts w:asciiTheme="majorHAnsi" w:eastAsiaTheme="majorEastAsia" w:hAnsiTheme="majorHAnsi" w:cstheme="majorBidi"/>
      <w:i/>
      <w:iCs/>
      <w:lang w:bidi="en-US"/>
    </w:rPr>
  </w:style>
  <w:style w:type="paragraph" w:styleId="Heading8">
    <w:name w:val="heading 8"/>
    <w:basedOn w:val="Normal"/>
    <w:next w:val="Normal"/>
    <w:link w:val="Heading8Char"/>
    <w:uiPriority w:val="99"/>
    <w:semiHidden/>
    <w:qFormat/>
    <w:rsid w:val="0064393B"/>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64393B"/>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393B"/>
    <w:rPr>
      <w:rFonts w:ascii="Tahoma" w:hAnsi="Tahoma" w:cs="Tahoma"/>
      <w:sz w:val="16"/>
      <w:szCs w:val="16"/>
    </w:rPr>
  </w:style>
  <w:style w:type="character" w:customStyle="1" w:styleId="BalloonTextChar">
    <w:name w:val="Balloon Text Char"/>
    <w:basedOn w:val="DefaultParagraphFont"/>
    <w:link w:val="BalloonText"/>
    <w:uiPriority w:val="99"/>
    <w:semiHidden/>
    <w:rsid w:val="0064393B"/>
    <w:rPr>
      <w:rFonts w:ascii="Tahoma" w:eastAsiaTheme="minorEastAsia" w:hAnsi="Tahoma" w:cs="Tahoma"/>
      <w:sz w:val="16"/>
      <w:szCs w:val="16"/>
    </w:rPr>
  </w:style>
  <w:style w:type="character" w:styleId="BookTitle">
    <w:name w:val="Book Title"/>
    <w:uiPriority w:val="99"/>
    <w:semiHidden/>
    <w:qFormat/>
    <w:rsid w:val="0064393B"/>
    <w:rPr>
      <w:i/>
      <w:iCs/>
      <w:smallCaps/>
      <w:spacing w:val="5"/>
    </w:rPr>
  </w:style>
  <w:style w:type="paragraph" w:customStyle="1" w:styleId="ECHRHeader">
    <w:name w:val="ECHR_Header"/>
    <w:aliases w:val="Ju_Header"/>
    <w:basedOn w:val="Header"/>
    <w:uiPriority w:val="4"/>
    <w:qFormat/>
    <w:rsid w:val="0064393B"/>
    <w:pPr>
      <w:tabs>
        <w:tab w:val="clear" w:pos="4536"/>
        <w:tab w:val="clear" w:pos="9072"/>
        <w:tab w:val="center" w:pos="3686"/>
        <w:tab w:val="right" w:pos="7371"/>
      </w:tabs>
      <w:jc w:val="left"/>
    </w:pPr>
    <w:rPr>
      <w:sz w:val="18"/>
    </w:rPr>
  </w:style>
  <w:style w:type="paragraph" w:customStyle="1" w:styleId="OpiPara">
    <w:name w:val="Opi_Para"/>
    <w:basedOn w:val="ECHRPara"/>
    <w:uiPriority w:val="46"/>
    <w:qFormat/>
    <w:rsid w:val="0064393B"/>
  </w:style>
  <w:style w:type="character" w:styleId="Strong">
    <w:name w:val="Strong"/>
    <w:uiPriority w:val="99"/>
    <w:semiHidden/>
    <w:qFormat/>
    <w:rsid w:val="0064393B"/>
    <w:rPr>
      <w:b/>
      <w:bCs/>
    </w:rPr>
  </w:style>
  <w:style w:type="paragraph" w:styleId="NoSpacing">
    <w:name w:val="No Spacing"/>
    <w:basedOn w:val="Normal"/>
    <w:link w:val="NoSpacingChar"/>
    <w:semiHidden/>
    <w:qFormat/>
    <w:rsid w:val="0064393B"/>
  </w:style>
  <w:style w:type="character" w:customStyle="1" w:styleId="NoSpacingChar">
    <w:name w:val="No Spacing Char"/>
    <w:basedOn w:val="DefaultParagraphFont"/>
    <w:link w:val="NoSpacing"/>
    <w:semiHidden/>
    <w:rsid w:val="0064393B"/>
    <w:rPr>
      <w:rFonts w:eastAsiaTheme="minorEastAsia"/>
      <w:sz w:val="24"/>
    </w:rPr>
  </w:style>
  <w:style w:type="paragraph" w:customStyle="1" w:styleId="ECHRParaQuote">
    <w:name w:val="ECHR_Para_Quote"/>
    <w:aliases w:val="Ju_Quot"/>
    <w:basedOn w:val="Normal"/>
    <w:qFormat/>
    <w:rsid w:val="0064393B"/>
    <w:pPr>
      <w:spacing w:before="120" w:after="120"/>
      <w:ind w:left="425" w:firstLine="142"/>
    </w:pPr>
    <w:rPr>
      <w:sz w:val="20"/>
    </w:rPr>
  </w:style>
  <w:style w:type="paragraph" w:customStyle="1" w:styleId="JuParaSub">
    <w:name w:val="Ju_Para_Sub"/>
    <w:basedOn w:val="ECHRPara"/>
    <w:uiPriority w:val="13"/>
    <w:unhideWhenUsed/>
    <w:qFormat/>
    <w:rsid w:val="0064393B"/>
    <w:pPr>
      <w:ind w:left="284"/>
    </w:pPr>
  </w:style>
  <w:style w:type="paragraph" w:customStyle="1" w:styleId="OpiParaSub">
    <w:name w:val="Opi_Para_Sub"/>
    <w:basedOn w:val="JuParaSub"/>
    <w:uiPriority w:val="47"/>
    <w:unhideWhenUsed/>
    <w:qFormat/>
    <w:rsid w:val="0064393B"/>
  </w:style>
  <w:style w:type="paragraph" w:customStyle="1" w:styleId="OpiQuot">
    <w:name w:val="Opi_Quot"/>
    <w:basedOn w:val="ECHRParaQuote"/>
    <w:uiPriority w:val="48"/>
    <w:qFormat/>
    <w:rsid w:val="0064393B"/>
  </w:style>
  <w:style w:type="paragraph" w:customStyle="1" w:styleId="OpiQuotSub">
    <w:name w:val="Opi_Quot_Sub"/>
    <w:basedOn w:val="JuQuotSub"/>
    <w:uiPriority w:val="49"/>
    <w:qFormat/>
    <w:rsid w:val="0064393B"/>
  </w:style>
  <w:style w:type="paragraph" w:customStyle="1" w:styleId="ECHRTitleCentre3">
    <w:name w:val="ECHR_Title_Centre_3"/>
    <w:aliases w:val="Ju_H_Article"/>
    <w:basedOn w:val="Normal"/>
    <w:next w:val="ECHRParaQuote"/>
    <w:uiPriority w:val="27"/>
    <w:qFormat/>
    <w:rsid w:val="0064393B"/>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64393B"/>
    <w:pPr>
      <w:keepNext/>
      <w:keepLines/>
      <w:spacing w:after="240"/>
      <w:jc w:val="center"/>
      <w:outlineLvl w:val="0"/>
    </w:pPr>
    <w:rPr>
      <w:rFonts w:asciiTheme="majorHAnsi" w:hAnsiTheme="majorHAnsi"/>
      <w:sz w:val="28"/>
    </w:rPr>
  </w:style>
  <w:style w:type="paragraph" w:customStyle="1" w:styleId="JuQuotSub">
    <w:name w:val="Ju_Quot_Sub"/>
    <w:basedOn w:val="ECHRParaQuote"/>
    <w:uiPriority w:val="15"/>
    <w:qFormat/>
    <w:rsid w:val="0064393B"/>
    <w:pPr>
      <w:ind w:left="567"/>
    </w:pPr>
  </w:style>
  <w:style w:type="paragraph" w:customStyle="1" w:styleId="ECHRTitle1">
    <w:name w:val="ECHR_Title_1"/>
    <w:aliases w:val="Ju_H_Head"/>
    <w:basedOn w:val="Normal"/>
    <w:next w:val="ECHRPara"/>
    <w:uiPriority w:val="18"/>
    <w:qFormat/>
    <w:rsid w:val="0064393B"/>
    <w:pPr>
      <w:keepNext/>
      <w:keepLines/>
      <w:spacing w:before="720" w:after="240"/>
      <w:outlineLvl w:val="0"/>
    </w:pPr>
    <w:rPr>
      <w:rFonts w:asciiTheme="majorHAnsi" w:hAnsiTheme="majorHAnsi"/>
      <w:sz w:val="28"/>
    </w:rPr>
  </w:style>
  <w:style w:type="paragraph" w:customStyle="1" w:styleId="JuInitialled">
    <w:name w:val="Ju_Initialled"/>
    <w:basedOn w:val="Normal"/>
    <w:uiPriority w:val="31"/>
    <w:qFormat/>
    <w:rsid w:val="0064393B"/>
    <w:pPr>
      <w:tabs>
        <w:tab w:val="center" w:pos="6407"/>
      </w:tabs>
      <w:spacing w:before="720"/>
      <w:jc w:val="right"/>
    </w:pPr>
  </w:style>
  <w:style w:type="paragraph" w:customStyle="1" w:styleId="JuSigned">
    <w:name w:val="Ju_Signed"/>
    <w:basedOn w:val="Normal"/>
    <w:next w:val="JuParaLast"/>
    <w:uiPriority w:val="32"/>
    <w:qFormat/>
    <w:rsid w:val="0064393B"/>
    <w:pPr>
      <w:tabs>
        <w:tab w:val="center" w:pos="851"/>
        <w:tab w:val="center" w:pos="6407"/>
      </w:tabs>
      <w:spacing w:before="720"/>
      <w:jc w:val="left"/>
    </w:pPr>
  </w:style>
  <w:style w:type="paragraph" w:styleId="Title">
    <w:name w:val="Title"/>
    <w:basedOn w:val="Normal"/>
    <w:next w:val="Normal"/>
    <w:link w:val="TitleChar"/>
    <w:uiPriority w:val="99"/>
    <w:semiHidden/>
    <w:qFormat/>
    <w:rsid w:val="0064393B"/>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64393B"/>
    <w:rPr>
      <w:rFonts w:asciiTheme="majorHAnsi" w:eastAsiaTheme="majorEastAsia" w:hAnsiTheme="majorHAnsi" w:cstheme="majorBidi"/>
      <w:spacing w:val="5"/>
      <w:sz w:val="52"/>
      <w:szCs w:val="52"/>
      <w:lang w:bidi="en-US"/>
    </w:rPr>
  </w:style>
  <w:style w:type="paragraph" w:customStyle="1" w:styleId="OpiHA">
    <w:name w:val="Opi_H_A"/>
    <w:basedOn w:val="ECHRHeading1"/>
    <w:next w:val="OpiPara"/>
    <w:uiPriority w:val="41"/>
    <w:qFormat/>
    <w:rsid w:val="0064393B"/>
    <w:pPr>
      <w:tabs>
        <w:tab w:val="clear" w:pos="357"/>
      </w:tabs>
      <w:outlineLvl w:val="1"/>
    </w:pPr>
    <w:rPr>
      <w:b/>
    </w:rPr>
  </w:style>
  <w:style w:type="character" w:customStyle="1" w:styleId="JUNAMES">
    <w:name w:val="JU_NAMES"/>
    <w:uiPriority w:val="17"/>
    <w:qFormat/>
    <w:rsid w:val="0064393B"/>
    <w:rPr>
      <w:caps w:val="0"/>
      <w:smallCaps/>
    </w:rPr>
  </w:style>
  <w:style w:type="character" w:customStyle="1" w:styleId="JuITMark">
    <w:name w:val="Ju_ITMark"/>
    <w:basedOn w:val="DefaultParagraphFont"/>
    <w:uiPriority w:val="38"/>
    <w:qFormat/>
    <w:rsid w:val="0064393B"/>
    <w:rPr>
      <w:vanish w:val="0"/>
      <w:color w:val="auto"/>
      <w:sz w:val="14"/>
    </w:rPr>
  </w:style>
  <w:style w:type="paragraph" w:customStyle="1" w:styleId="OpiTranslation">
    <w:name w:val="Opi_Translation"/>
    <w:basedOn w:val="Normal"/>
    <w:next w:val="OpiPara"/>
    <w:uiPriority w:val="40"/>
    <w:qFormat/>
    <w:rsid w:val="0064393B"/>
    <w:pPr>
      <w:jc w:val="center"/>
      <w:outlineLvl w:val="0"/>
    </w:pPr>
    <w:rPr>
      <w:i/>
    </w:rPr>
  </w:style>
  <w:style w:type="paragraph" w:customStyle="1" w:styleId="JuCourt">
    <w:name w:val="Ju_Court"/>
    <w:basedOn w:val="Normal"/>
    <w:next w:val="Normal"/>
    <w:uiPriority w:val="16"/>
    <w:qFormat/>
    <w:rsid w:val="0064393B"/>
    <w:pPr>
      <w:tabs>
        <w:tab w:val="left" w:pos="907"/>
        <w:tab w:val="left" w:pos="1701"/>
        <w:tab w:val="right" w:pos="7371"/>
      </w:tabs>
      <w:spacing w:before="240"/>
      <w:ind w:left="397" w:hanging="397"/>
      <w:jc w:val="left"/>
    </w:pPr>
    <w:rPr>
      <w:lang w:bidi="en-US"/>
    </w:rPr>
  </w:style>
  <w:style w:type="paragraph" w:customStyle="1" w:styleId="ECHRHeading1">
    <w:name w:val="ECHR_Heading_1"/>
    <w:aliases w:val="Ju_H_I_Roman"/>
    <w:basedOn w:val="Heading1"/>
    <w:next w:val="ECHRPara"/>
    <w:uiPriority w:val="19"/>
    <w:qFormat/>
    <w:rsid w:val="0064393B"/>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64393B"/>
    <w:pPr>
      <w:keepNext/>
      <w:keepLines/>
      <w:tabs>
        <w:tab w:val="left" w:pos="584"/>
      </w:tabs>
      <w:spacing w:before="360" w:after="240"/>
      <w:ind w:left="584" w:hanging="352"/>
    </w:pPr>
    <w:rPr>
      <w:color w:val="auto"/>
      <w:sz w:val="24"/>
    </w:rPr>
  </w:style>
  <w:style w:type="paragraph" w:customStyle="1" w:styleId="ECHRHeading3">
    <w:name w:val="ECHR_Heading_3"/>
    <w:aliases w:val="Ju_H_1."/>
    <w:basedOn w:val="Heading3"/>
    <w:next w:val="ECHRPara"/>
    <w:uiPriority w:val="21"/>
    <w:qFormat/>
    <w:rsid w:val="0064393B"/>
    <w:pPr>
      <w:keepNext/>
      <w:keepLines/>
      <w:tabs>
        <w:tab w:val="left" w:pos="731"/>
      </w:tabs>
      <w:spacing w:before="240" w:after="120" w:line="240" w:lineRule="auto"/>
      <w:ind w:left="732" w:hanging="301"/>
    </w:pPr>
    <w:rPr>
      <w:b w:val="0"/>
      <w:i/>
      <w:color w:val="auto"/>
    </w:rPr>
  </w:style>
  <w:style w:type="paragraph" w:styleId="Header">
    <w:name w:val="header"/>
    <w:basedOn w:val="Normal"/>
    <w:link w:val="HeaderChar"/>
    <w:uiPriority w:val="57"/>
    <w:semiHidden/>
    <w:rsid w:val="0064393B"/>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64393B"/>
    <w:rPr>
      <w:sz w:val="24"/>
    </w:rPr>
  </w:style>
  <w:style w:type="character" w:customStyle="1" w:styleId="Heading1Char">
    <w:name w:val="Heading 1 Char"/>
    <w:basedOn w:val="DefaultParagraphFont"/>
    <w:link w:val="Heading1"/>
    <w:uiPriority w:val="99"/>
    <w:semiHidden/>
    <w:rsid w:val="0064393B"/>
    <w:rPr>
      <w:rFonts w:asciiTheme="majorHAnsi" w:eastAsiaTheme="majorEastAsia" w:hAnsiTheme="majorHAnsi" w:cstheme="majorBidi"/>
      <w:b/>
      <w:bCs/>
      <w:color w:val="333333"/>
      <w:sz w:val="28"/>
      <w:szCs w:val="28"/>
    </w:rPr>
  </w:style>
  <w:style w:type="paragraph" w:customStyle="1" w:styleId="ECHRHeading4">
    <w:name w:val="ECHR_Heading_4"/>
    <w:aliases w:val="Ju_H_a"/>
    <w:basedOn w:val="Heading4"/>
    <w:next w:val="ECHRPara"/>
    <w:uiPriority w:val="22"/>
    <w:qFormat/>
    <w:rsid w:val="0064393B"/>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64393B"/>
    <w:pPr>
      <w:keepNext/>
      <w:keepLines/>
      <w:tabs>
        <w:tab w:val="left" w:pos="1191"/>
      </w:tabs>
      <w:spacing w:before="240" w:after="120"/>
      <w:ind w:left="1190" w:hanging="357"/>
    </w:pPr>
    <w:rPr>
      <w:b w:val="0"/>
      <w:i/>
      <w:color w:val="auto"/>
      <w:sz w:val="20"/>
    </w:rPr>
  </w:style>
  <w:style w:type="character" w:customStyle="1" w:styleId="Heading2Char">
    <w:name w:val="Heading 2 Char"/>
    <w:basedOn w:val="DefaultParagraphFont"/>
    <w:link w:val="Heading2"/>
    <w:uiPriority w:val="99"/>
    <w:semiHidden/>
    <w:rsid w:val="0064393B"/>
    <w:rPr>
      <w:rFonts w:asciiTheme="majorHAnsi" w:eastAsiaTheme="majorEastAsia" w:hAnsiTheme="majorHAnsi" w:cstheme="majorBidi"/>
      <w:b/>
      <w:bCs/>
      <w:color w:val="4D4D4D"/>
      <w:sz w:val="26"/>
      <w:szCs w:val="26"/>
    </w:rPr>
  </w:style>
  <w:style w:type="paragraph" w:customStyle="1" w:styleId="ECHRHeading6">
    <w:name w:val="ECHR_Heading_6"/>
    <w:aliases w:val="Ju_H_alpha"/>
    <w:basedOn w:val="Heading6"/>
    <w:next w:val="ECHRPara"/>
    <w:uiPriority w:val="24"/>
    <w:qFormat/>
    <w:rsid w:val="0064393B"/>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64393B"/>
    <w:pPr>
      <w:keepNext/>
      <w:keepLines/>
      <w:spacing w:before="240" w:after="120"/>
      <w:ind w:left="1236"/>
    </w:pPr>
    <w:rPr>
      <w:sz w:val="20"/>
    </w:rPr>
  </w:style>
  <w:style w:type="character" w:customStyle="1" w:styleId="Heading3Char">
    <w:name w:val="Heading 3 Char"/>
    <w:basedOn w:val="DefaultParagraphFont"/>
    <w:link w:val="Heading3"/>
    <w:uiPriority w:val="99"/>
    <w:semiHidden/>
    <w:rsid w:val="0064393B"/>
    <w:rPr>
      <w:rFonts w:asciiTheme="majorHAnsi" w:eastAsiaTheme="majorEastAsia" w:hAnsiTheme="majorHAnsi" w:cstheme="majorBidi"/>
      <w:b/>
      <w:bCs/>
      <w:color w:val="5F5F5F"/>
      <w:sz w:val="24"/>
    </w:rPr>
  </w:style>
  <w:style w:type="paragraph" w:customStyle="1" w:styleId="JuParaLast">
    <w:name w:val="Ju_Para_Last"/>
    <w:basedOn w:val="Normal"/>
    <w:next w:val="ECHRPara"/>
    <w:uiPriority w:val="30"/>
    <w:qFormat/>
    <w:rsid w:val="0064393B"/>
    <w:pPr>
      <w:keepNext/>
      <w:keepLines/>
      <w:spacing w:before="240"/>
      <w:ind w:firstLine="284"/>
    </w:pPr>
  </w:style>
  <w:style w:type="paragraph" w:customStyle="1" w:styleId="ECHRDecisionBody">
    <w:name w:val="ECHR_Decision_Body"/>
    <w:aliases w:val="Ju_Judges"/>
    <w:basedOn w:val="Normal"/>
    <w:uiPriority w:val="11"/>
    <w:qFormat/>
    <w:rsid w:val="0064393B"/>
    <w:pPr>
      <w:tabs>
        <w:tab w:val="left" w:pos="567"/>
        <w:tab w:val="left" w:pos="1134"/>
      </w:tabs>
      <w:jc w:val="left"/>
    </w:pPr>
  </w:style>
  <w:style w:type="character" w:customStyle="1" w:styleId="Heading4Char">
    <w:name w:val="Heading 4 Char"/>
    <w:basedOn w:val="DefaultParagraphFont"/>
    <w:link w:val="Heading4"/>
    <w:uiPriority w:val="99"/>
    <w:semiHidden/>
    <w:rsid w:val="0064393B"/>
    <w:rPr>
      <w:rFonts w:asciiTheme="majorHAnsi" w:eastAsiaTheme="majorEastAsia" w:hAnsiTheme="majorHAnsi" w:cstheme="majorBidi"/>
      <w:b/>
      <w:bCs/>
      <w:i/>
      <w:iCs/>
      <w:color w:val="777777"/>
      <w:sz w:val="24"/>
    </w:rPr>
  </w:style>
  <w:style w:type="paragraph" w:customStyle="1" w:styleId="JuList">
    <w:name w:val="Ju_List"/>
    <w:basedOn w:val="Normal"/>
    <w:uiPriority w:val="28"/>
    <w:qFormat/>
    <w:rsid w:val="0064393B"/>
    <w:pPr>
      <w:ind w:left="340" w:hanging="340"/>
    </w:pPr>
  </w:style>
  <w:style w:type="character" w:customStyle="1" w:styleId="Heading5Char">
    <w:name w:val="Heading 5 Char"/>
    <w:basedOn w:val="DefaultParagraphFont"/>
    <w:link w:val="Heading5"/>
    <w:uiPriority w:val="99"/>
    <w:semiHidden/>
    <w:rsid w:val="0064393B"/>
    <w:rPr>
      <w:rFonts w:asciiTheme="majorHAnsi" w:eastAsiaTheme="majorEastAsia" w:hAnsiTheme="majorHAnsi" w:cstheme="majorBidi"/>
      <w:b/>
      <w:bCs/>
      <w:color w:val="808080"/>
      <w:sz w:val="24"/>
    </w:rPr>
  </w:style>
  <w:style w:type="paragraph" w:customStyle="1" w:styleId="JuLista">
    <w:name w:val="Ju_List_a"/>
    <w:basedOn w:val="JuList"/>
    <w:uiPriority w:val="28"/>
    <w:qFormat/>
    <w:rsid w:val="0064393B"/>
    <w:pPr>
      <w:ind w:left="346" w:firstLine="0"/>
    </w:pPr>
  </w:style>
  <w:style w:type="paragraph" w:customStyle="1" w:styleId="JuListi">
    <w:name w:val="Ju_List_i"/>
    <w:basedOn w:val="Normal"/>
    <w:next w:val="JuLista"/>
    <w:uiPriority w:val="28"/>
    <w:qFormat/>
    <w:rsid w:val="0064393B"/>
    <w:pPr>
      <w:ind w:left="794"/>
    </w:pPr>
  </w:style>
  <w:style w:type="character" w:styleId="SubtleEmphasis">
    <w:name w:val="Subtle Emphasis"/>
    <w:uiPriority w:val="99"/>
    <w:semiHidden/>
    <w:qFormat/>
    <w:rsid w:val="0064393B"/>
    <w:rPr>
      <w:i/>
      <w:iCs/>
    </w:rPr>
  </w:style>
  <w:style w:type="paragraph" w:customStyle="1" w:styleId="OpiH1">
    <w:name w:val="Opi_H_1"/>
    <w:basedOn w:val="ECHRHeading2"/>
    <w:uiPriority w:val="42"/>
    <w:qFormat/>
    <w:rsid w:val="0064393B"/>
    <w:pPr>
      <w:ind w:left="635" w:hanging="357"/>
      <w:outlineLvl w:val="2"/>
    </w:p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OpiHa0">
    <w:name w:val="Opi_H_a"/>
    <w:basedOn w:val="ECHRHeading3"/>
    <w:uiPriority w:val="43"/>
    <w:qFormat/>
    <w:rsid w:val="0064393B"/>
    <w:pPr>
      <w:ind w:left="833" w:hanging="357"/>
      <w:outlineLvl w:val="3"/>
    </w:pPr>
    <w:rPr>
      <w:b/>
      <w:i w:val="0"/>
      <w:sz w:val="20"/>
    </w:rPr>
  </w:style>
  <w:style w:type="paragraph" w:customStyle="1" w:styleId="OpiHi">
    <w:name w:val="Opi_H_i"/>
    <w:basedOn w:val="ECHRHeading4"/>
    <w:uiPriority w:val="44"/>
    <w:qFormat/>
    <w:rsid w:val="0064393B"/>
    <w:pPr>
      <w:ind w:left="1037" w:hanging="357"/>
      <w:outlineLvl w:val="4"/>
    </w:pPr>
    <w:rPr>
      <w:b w:val="0"/>
      <w:i/>
    </w:rPr>
  </w:style>
  <w:style w:type="paragraph" w:customStyle="1" w:styleId="DummyStyle">
    <w:name w:val="Dummy_Style"/>
    <w:basedOn w:val="Normal"/>
    <w:semiHidden/>
    <w:qFormat/>
    <w:rsid w:val="0064393B"/>
    <w:rPr>
      <w:color w:val="00B050"/>
    </w:rPr>
  </w:style>
  <w:style w:type="character" w:styleId="Emphasis">
    <w:name w:val="Emphasis"/>
    <w:uiPriority w:val="99"/>
    <w:semiHidden/>
    <w:qFormat/>
    <w:rsid w:val="0064393B"/>
    <w:rPr>
      <w:b/>
      <w:bCs/>
      <w:i/>
      <w:iCs/>
      <w:spacing w:val="10"/>
      <w:bdr w:val="none" w:sz="0" w:space="0" w:color="auto"/>
      <w:shd w:val="clear" w:color="auto" w:fill="auto"/>
    </w:rPr>
  </w:style>
  <w:style w:type="paragraph" w:styleId="Footer">
    <w:name w:val="footer"/>
    <w:basedOn w:val="Normal"/>
    <w:link w:val="FooterChar"/>
    <w:uiPriority w:val="57"/>
    <w:semiHidden/>
    <w:rsid w:val="0064393B"/>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64393B"/>
    <w:rPr>
      <w:sz w:val="24"/>
    </w:rPr>
  </w:style>
  <w:style w:type="character" w:styleId="FootnoteReference">
    <w:name w:val="footnote reference"/>
    <w:basedOn w:val="DefaultParagraphFont"/>
    <w:uiPriority w:val="99"/>
    <w:semiHidden/>
    <w:rsid w:val="0064393B"/>
    <w:rPr>
      <w:vertAlign w:val="superscript"/>
    </w:rPr>
  </w:style>
  <w:style w:type="paragraph" w:styleId="FootnoteText">
    <w:name w:val="footnote text"/>
    <w:basedOn w:val="Normal"/>
    <w:link w:val="FootnoteTextChar"/>
    <w:uiPriority w:val="99"/>
    <w:semiHidden/>
    <w:rsid w:val="0064393B"/>
    <w:rPr>
      <w:sz w:val="20"/>
      <w:szCs w:val="20"/>
    </w:rPr>
  </w:style>
  <w:style w:type="character" w:customStyle="1" w:styleId="FootnoteTextChar">
    <w:name w:val="Footnote Text Char"/>
    <w:basedOn w:val="DefaultParagraphFont"/>
    <w:link w:val="FootnoteText"/>
    <w:uiPriority w:val="99"/>
    <w:semiHidden/>
    <w:rsid w:val="0064393B"/>
    <w:rPr>
      <w:rFonts w:eastAsiaTheme="minorEastAsia"/>
      <w:sz w:val="20"/>
      <w:szCs w:val="20"/>
    </w:rPr>
  </w:style>
  <w:style w:type="character" w:customStyle="1" w:styleId="Heading6Char">
    <w:name w:val="Heading 6 Char"/>
    <w:basedOn w:val="DefaultParagraphFont"/>
    <w:link w:val="Heading6"/>
    <w:uiPriority w:val="99"/>
    <w:semiHidden/>
    <w:rsid w:val="0064393B"/>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64393B"/>
    <w:rPr>
      <w:rFonts w:asciiTheme="majorHAnsi" w:eastAsiaTheme="majorEastAsia" w:hAnsiTheme="majorHAnsi" w:cstheme="majorBidi"/>
      <w:i/>
      <w:iCs/>
      <w:sz w:val="24"/>
      <w:lang w:bidi="en-US"/>
    </w:rPr>
  </w:style>
  <w:style w:type="character" w:customStyle="1" w:styleId="Heading8Char">
    <w:name w:val="Heading 8 Char"/>
    <w:basedOn w:val="DefaultParagraphFont"/>
    <w:link w:val="Heading8"/>
    <w:uiPriority w:val="99"/>
    <w:semiHidden/>
    <w:rsid w:val="0064393B"/>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64393B"/>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64393B"/>
    <w:rPr>
      <w:color w:val="0072BC" w:themeColor="hyperlink"/>
      <w:u w:val="single"/>
    </w:rPr>
  </w:style>
  <w:style w:type="character" w:styleId="IntenseEmphasis">
    <w:name w:val="Intense Emphasis"/>
    <w:uiPriority w:val="99"/>
    <w:semiHidden/>
    <w:qFormat/>
    <w:rsid w:val="0064393B"/>
    <w:rPr>
      <w:b/>
      <w:bCs/>
    </w:rPr>
  </w:style>
  <w:style w:type="paragraph" w:styleId="IntenseQuote">
    <w:name w:val="Intense Quote"/>
    <w:basedOn w:val="Normal"/>
    <w:next w:val="Normal"/>
    <w:link w:val="IntenseQuoteChar"/>
    <w:uiPriority w:val="99"/>
    <w:semiHidden/>
    <w:qFormat/>
    <w:rsid w:val="0064393B"/>
    <w:pPr>
      <w:pBdr>
        <w:bottom w:val="single" w:sz="4" w:space="1" w:color="auto"/>
      </w:pBdr>
      <w:spacing w:before="200" w:after="280"/>
      <w:ind w:left="1008" w:right="1152"/>
    </w:pPr>
    <w:rPr>
      <w:b/>
      <w:bCs/>
      <w:i/>
      <w:iCs/>
      <w:lang w:bidi="en-US"/>
    </w:rPr>
  </w:style>
  <w:style w:type="character" w:customStyle="1" w:styleId="IntenseQuoteChar">
    <w:name w:val="Intense Quote Char"/>
    <w:basedOn w:val="DefaultParagraphFont"/>
    <w:link w:val="IntenseQuote"/>
    <w:uiPriority w:val="99"/>
    <w:semiHidden/>
    <w:rsid w:val="0064393B"/>
    <w:rPr>
      <w:rFonts w:eastAsiaTheme="minorEastAsia"/>
      <w:b/>
      <w:bCs/>
      <w:i/>
      <w:iCs/>
      <w:sz w:val="24"/>
      <w:lang w:bidi="en-US"/>
    </w:rPr>
  </w:style>
  <w:style w:type="character" w:styleId="IntenseReference">
    <w:name w:val="Intense Reference"/>
    <w:uiPriority w:val="99"/>
    <w:semiHidden/>
    <w:qFormat/>
    <w:rsid w:val="0064393B"/>
    <w:rPr>
      <w:smallCaps/>
      <w:spacing w:val="5"/>
      <w:u w:val="single"/>
    </w:rPr>
  </w:style>
  <w:style w:type="paragraph" w:styleId="ListParagraph">
    <w:name w:val="List Paragraph"/>
    <w:basedOn w:val="Normal"/>
    <w:uiPriority w:val="99"/>
    <w:semiHidden/>
    <w:qFormat/>
    <w:rsid w:val="0064393B"/>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64393B"/>
    <w:pPr>
      <w:spacing w:before="200"/>
      <w:ind w:left="360" w:right="360"/>
    </w:pPr>
    <w:rPr>
      <w:i/>
      <w:iCs/>
      <w:lang w:bidi="en-US"/>
    </w:rPr>
  </w:style>
  <w:style w:type="character" w:customStyle="1" w:styleId="QuoteChar">
    <w:name w:val="Quote Char"/>
    <w:basedOn w:val="DefaultParagraphFont"/>
    <w:link w:val="Quote"/>
    <w:uiPriority w:val="99"/>
    <w:semiHidden/>
    <w:rsid w:val="0064393B"/>
    <w:rPr>
      <w:rFonts w:eastAsiaTheme="minorEastAsia"/>
      <w:i/>
      <w:iCs/>
      <w:sz w:val="24"/>
      <w:lang w:bidi="en-US"/>
    </w:rPr>
  </w:style>
  <w:style w:type="character" w:styleId="SubtleReference">
    <w:name w:val="Subtle Reference"/>
    <w:uiPriority w:val="99"/>
    <w:semiHidden/>
    <w:qFormat/>
    <w:rsid w:val="0064393B"/>
    <w:rPr>
      <w:smallCaps/>
    </w:rPr>
  </w:style>
  <w:style w:type="table" w:styleId="TableGrid">
    <w:name w:val="Table Grid"/>
    <w:basedOn w:val="TableNormal"/>
    <w:uiPriority w:val="59"/>
    <w:semiHidden/>
    <w:rsid w:val="0064393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64393B"/>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64393B"/>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64393B"/>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64393B"/>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64393B"/>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64393B"/>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64393B"/>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64393B"/>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64393B"/>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Para,_Para"/>
    <w:basedOn w:val="Normal"/>
    <w:link w:val="ECHRParaChar"/>
    <w:uiPriority w:val="8"/>
    <w:qFormat/>
    <w:rsid w:val="0064393B"/>
    <w:pPr>
      <w:ind w:firstLine="284"/>
    </w:p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64393B"/>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64393B"/>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72"/>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72"/>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72"/>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71"/>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uiPriority w:val="99"/>
    <w:semiHidden/>
    <w:rsid w:val="0098410D"/>
    <w:rPr>
      <w:sz w:val="20"/>
      <w:szCs w:val="20"/>
    </w:rPr>
  </w:style>
  <w:style w:type="character" w:customStyle="1" w:styleId="CommentTextChar">
    <w:name w:val="Comment Text Char"/>
    <w:basedOn w:val="DefaultParagraphFont"/>
    <w:link w:val="CommentText"/>
    <w:uiPriority w:val="99"/>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70"/>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70"/>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70"/>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70"/>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70"/>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98410D"/>
    <w:rPr>
      <w:vertAlign w:val="superscript"/>
    </w:rPr>
  </w:style>
  <w:style w:type="paragraph" w:styleId="EndnoteText">
    <w:name w:val="endnote text"/>
    <w:basedOn w:val="Normal"/>
    <w:link w:val="EndnoteTextChar"/>
    <w:uiPriority w:val="99"/>
    <w:semiHidden/>
    <w:rsid w:val="0098410D"/>
    <w:rPr>
      <w:sz w:val="20"/>
      <w:szCs w:val="20"/>
    </w:rPr>
  </w:style>
  <w:style w:type="character" w:customStyle="1" w:styleId="EndnoteTextChar">
    <w:name w:val="Endnote Text Char"/>
    <w:basedOn w:val="DefaultParagraphFont"/>
    <w:link w:val="EndnoteText"/>
    <w:uiPriority w:val="99"/>
    <w:semiHidden/>
    <w:rsid w:val="0098410D"/>
    <w:rPr>
      <w:rFonts w:eastAsiaTheme="minorEastAsia"/>
      <w:sz w:val="20"/>
      <w:szCs w:val="20"/>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62"/>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62"/>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62"/>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62"/>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62"/>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61"/>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61"/>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61"/>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61"/>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60"/>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60"/>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60"/>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60"/>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67"/>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67"/>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67"/>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67"/>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65"/>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65"/>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65"/>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65"/>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65"/>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63"/>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64393B"/>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64393B"/>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64393B"/>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DecHTitle">
    <w:name w:val="Dec_H_Title"/>
    <w:basedOn w:val="ECHRTitleCentre1"/>
    <w:uiPriority w:val="7"/>
    <w:semiHidden/>
    <w:qFormat/>
    <w:rsid w:val="0064393B"/>
  </w:style>
  <w:style w:type="paragraph" w:customStyle="1" w:styleId="DecList">
    <w:name w:val="Dec_List"/>
    <w:basedOn w:val="Normal"/>
    <w:uiPriority w:val="9"/>
    <w:semiHidden/>
    <w:qFormat/>
    <w:rsid w:val="0064393B"/>
    <w:pPr>
      <w:spacing w:before="240"/>
      <w:ind w:left="284"/>
    </w:pPr>
  </w:style>
  <w:style w:type="paragraph" w:customStyle="1" w:styleId="ECHRFooter">
    <w:name w:val="ECHR_Footer"/>
    <w:aliases w:val="Footer_ECHR"/>
    <w:basedOn w:val="Footer"/>
    <w:uiPriority w:val="57"/>
    <w:semiHidden/>
    <w:rsid w:val="0064393B"/>
    <w:pPr>
      <w:jc w:val="left"/>
    </w:pPr>
    <w:rPr>
      <w:sz w:val="8"/>
    </w:rPr>
  </w:style>
  <w:style w:type="paragraph" w:customStyle="1" w:styleId="ECHRFooterLine">
    <w:name w:val="ECHR_Footer_Line"/>
    <w:aliases w:val="Footer_Line"/>
    <w:basedOn w:val="Normal"/>
    <w:next w:val="ECHRFooter"/>
    <w:uiPriority w:val="57"/>
    <w:semiHidden/>
    <w:rsid w:val="0064393B"/>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semiHidden/>
    <w:qFormat/>
    <w:rsid w:val="0064393B"/>
    <w:pPr>
      <w:spacing w:after="240"/>
      <w:jc w:val="center"/>
      <w:outlineLvl w:val="0"/>
    </w:pPr>
    <w:rPr>
      <w:rFonts w:asciiTheme="majorHAnsi" w:hAnsiTheme="majorHAnsi"/>
      <w:i/>
    </w:rPr>
  </w:style>
  <w:style w:type="paragraph" w:customStyle="1" w:styleId="JuAppQuestion">
    <w:name w:val="Ju_App_Question"/>
    <w:basedOn w:val="Normal"/>
    <w:uiPriority w:val="5"/>
    <w:semiHidden/>
    <w:qFormat/>
    <w:rsid w:val="0064393B"/>
    <w:pPr>
      <w:numPr>
        <w:numId w:val="21"/>
      </w:numPr>
      <w:jc w:val="left"/>
    </w:pPr>
    <w:rPr>
      <w:b/>
    </w:rPr>
  </w:style>
  <w:style w:type="paragraph" w:customStyle="1" w:styleId="JuHeaderLandscape">
    <w:name w:val="Ju_Header_Landscape"/>
    <w:basedOn w:val="ECHRHeader"/>
    <w:uiPriority w:val="4"/>
    <w:qFormat/>
    <w:rsid w:val="0064393B"/>
    <w:pPr>
      <w:tabs>
        <w:tab w:val="clear" w:pos="3686"/>
        <w:tab w:val="clear" w:pos="7371"/>
        <w:tab w:val="center" w:pos="6146"/>
        <w:tab w:val="right" w:pos="12293"/>
      </w:tabs>
    </w:pPr>
  </w:style>
  <w:style w:type="paragraph" w:customStyle="1" w:styleId="JuTitle">
    <w:name w:val="Ju_Title"/>
    <w:basedOn w:val="Normal"/>
    <w:next w:val="ECHRPara"/>
    <w:uiPriority w:val="3"/>
    <w:qFormat/>
    <w:rsid w:val="0064393B"/>
    <w:pPr>
      <w:spacing w:before="720" w:after="240"/>
      <w:jc w:val="center"/>
      <w:outlineLvl w:val="0"/>
    </w:pPr>
    <w:rPr>
      <w:rFonts w:asciiTheme="majorHAnsi" w:hAnsiTheme="majorHAnsi"/>
      <w:b/>
      <w:caps/>
    </w:rPr>
  </w:style>
  <w:style w:type="character" w:customStyle="1" w:styleId="ECHRParaChar">
    <w:name w:val="ECHR_Para Char"/>
    <w:aliases w:val="Ju_Para Char,_Para Char"/>
    <w:link w:val="ECHRPara"/>
    <w:uiPriority w:val="8"/>
    <w:rsid w:val="001962A0"/>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68662">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A467B2-11C5-4653-A518-56009D849E16}"/>
</file>

<file path=customXml/itemProps2.xml><?xml version="1.0" encoding="utf-8"?>
<ds:datastoreItem xmlns:ds="http://schemas.openxmlformats.org/officeDocument/2006/customXml" ds:itemID="{0546667A-0C81-42B8-AC66-E1288B461A5B}"/>
</file>

<file path=customXml/itemProps3.xml><?xml version="1.0" encoding="utf-8"?>
<ds:datastoreItem xmlns:ds="http://schemas.openxmlformats.org/officeDocument/2006/customXml" ds:itemID="{BD2629B5-EE21-4543-AF4C-9EA47FBD000E}"/>
</file>

<file path=customXml/itemProps4.xml><?xml version="1.0" encoding="utf-8"?>
<ds:datastoreItem xmlns:ds="http://schemas.openxmlformats.org/officeDocument/2006/customXml" ds:itemID="{7A0C0257-72BF-47B1-8DED-EBEB6C9533F8}"/>
</file>

<file path=docProps/app.xml><?xml version="1.0" encoding="utf-8"?>
<Properties xmlns="http://schemas.openxmlformats.org/officeDocument/2006/extended-properties" xmlns:vt="http://schemas.openxmlformats.org/officeDocument/2006/docPropsVTypes">
  <Template>Normal.dotm</Template>
  <TotalTime>0</TotalTime>
  <Pages>1</Pages>
  <Words>6507</Words>
  <Characters>37092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43512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keywords/>
  <cp:lastModifiedBy/>
  <cp:revision>1</cp:revision>
  <dcterms:created xsi:type="dcterms:W3CDTF">2019-11-25T08:10:00Z</dcterms:created>
  <dcterms:modified xsi:type="dcterms:W3CDTF">2019-11-25T08:10:00Z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55216/08</vt:lpwstr>
  </property>
  <property fmtid="{D5CDD505-2E9C-101B-9397-08002B2CF9AE}" pid="4" name="CASEID">
    <vt:lpwstr>539374</vt:lpwstr>
  </property>
  <property fmtid="{D5CDD505-2E9C-101B-9397-08002B2CF9AE}" pid="5" name="ContentTypeId">
    <vt:lpwstr>0x010100558EB02BDB9E204AB350EDD385B68E10</vt:lpwstr>
  </property>
</Properties>
</file>